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229F6" w14:textId="77777777" w:rsidR="000608EE" w:rsidRPr="00530663" w:rsidRDefault="000608EE" w:rsidP="000608EE">
      <w:pPr>
        <w:spacing w:after="0" w:line="240" w:lineRule="auto"/>
        <w:jc w:val="center"/>
        <w:rPr>
          <w:b/>
          <w:szCs w:val="24"/>
        </w:rPr>
      </w:pPr>
      <w:r w:rsidRPr="00530663">
        <w:rPr>
          <w:b/>
          <w:szCs w:val="24"/>
        </w:rPr>
        <w:t>INFORMAČNÝ LIST PREDMETU</w:t>
      </w:r>
    </w:p>
    <w:p w14:paraId="37706EA7" w14:textId="77777777" w:rsidR="000608EE" w:rsidRPr="00530663" w:rsidRDefault="000608EE" w:rsidP="000608EE">
      <w:pPr>
        <w:spacing w:after="0" w:line="240" w:lineRule="auto"/>
        <w:jc w:val="center"/>
        <w:rPr>
          <w:b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0608EE" w:rsidRPr="00530663" w14:paraId="2F9B1214" w14:textId="77777777" w:rsidTr="00C03AA6">
        <w:tc>
          <w:tcPr>
            <w:tcW w:w="9322" w:type="dxa"/>
            <w:gridSpan w:val="7"/>
          </w:tcPr>
          <w:p w14:paraId="6F51C90E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b/>
                <w:szCs w:val="24"/>
              </w:rPr>
              <w:t>Vysoká škola:</w:t>
            </w:r>
            <w:r w:rsidRPr="00530663">
              <w:rPr>
                <w:szCs w:val="24"/>
              </w:rPr>
              <w:t xml:space="preserve"> Katolícka univerzita v Ružomberku</w:t>
            </w:r>
          </w:p>
        </w:tc>
      </w:tr>
      <w:tr w:rsidR="000608EE" w:rsidRPr="00530663" w14:paraId="105C8ACD" w14:textId="77777777" w:rsidTr="00C03AA6">
        <w:tc>
          <w:tcPr>
            <w:tcW w:w="9322" w:type="dxa"/>
            <w:gridSpan w:val="7"/>
          </w:tcPr>
          <w:p w14:paraId="6B1143A2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b/>
                <w:szCs w:val="24"/>
              </w:rPr>
              <w:t>Fakulta:</w:t>
            </w:r>
            <w:r w:rsidRPr="00530663">
              <w:rPr>
                <w:szCs w:val="24"/>
              </w:rPr>
              <w:t xml:space="preserve"> Teologická </w:t>
            </w:r>
          </w:p>
        </w:tc>
      </w:tr>
      <w:tr w:rsidR="000608EE" w:rsidRPr="00530663" w14:paraId="376964B4" w14:textId="77777777" w:rsidTr="00C03AA6">
        <w:trPr>
          <w:trHeight w:val="286"/>
        </w:trPr>
        <w:tc>
          <w:tcPr>
            <w:tcW w:w="4243" w:type="dxa"/>
            <w:gridSpan w:val="3"/>
          </w:tcPr>
          <w:p w14:paraId="49459225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b/>
                <w:szCs w:val="24"/>
              </w:rPr>
              <w:t xml:space="preserve">Kód predmetu: </w:t>
            </w:r>
            <w:r w:rsidRPr="00530663">
              <w:rPr>
                <w:szCs w:val="24"/>
              </w:rPr>
              <w:t>TSSP/</w:t>
            </w:r>
          </w:p>
          <w:p w14:paraId="0D046DB6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CD/15</w:t>
            </w:r>
          </w:p>
        </w:tc>
        <w:tc>
          <w:tcPr>
            <w:tcW w:w="5079" w:type="dxa"/>
            <w:gridSpan w:val="4"/>
          </w:tcPr>
          <w:p w14:paraId="7DF1918A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b/>
                <w:szCs w:val="24"/>
              </w:rPr>
              <w:t>Názov predmetu:</w:t>
            </w:r>
            <w:r w:rsidRPr="00530663">
              <w:rPr>
                <w:szCs w:val="24"/>
              </w:rPr>
              <w:t xml:space="preserve"> Dejiny charitatívnej práce</w:t>
            </w:r>
          </w:p>
        </w:tc>
      </w:tr>
      <w:tr w:rsidR="000608EE" w:rsidRPr="00530663" w14:paraId="006BA4DA" w14:textId="77777777" w:rsidTr="00C03AA6">
        <w:trPr>
          <w:trHeight w:val="286"/>
        </w:trPr>
        <w:tc>
          <w:tcPr>
            <w:tcW w:w="9322" w:type="dxa"/>
            <w:gridSpan w:val="7"/>
          </w:tcPr>
          <w:p w14:paraId="614913BF" w14:textId="77777777" w:rsidR="000608EE" w:rsidRPr="00530663" w:rsidRDefault="000608EE" w:rsidP="00C03AA6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530663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4B8775BB" w14:textId="77777777" w:rsidR="000608EE" w:rsidRPr="00530663" w:rsidRDefault="000608EE" w:rsidP="00C03AA6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530663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530663">
              <w:rPr>
                <w:rFonts w:eastAsia="MS Mincho"/>
                <w:bCs/>
                <w:szCs w:val="24"/>
              </w:rPr>
              <w:t xml:space="preserve">Povinne voliteľný </w:t>
            </w:r>
            <w:r w:rsidRPr="00530663">
              <w:rPr>
                <w:rFonts w:eastAsia="MS Mincho"/>
                <w:szCs w:val="24"/>
              </w:rPr>
              <w:t xml:space="preserve"> predmet</w:t>
            </w:r>
          </w:p>
          <w:p w14:paraId="26BC5DA1" w14:textId="77777777" w:rsidR="000608EE" w:rsidRPr="00530663" w:rsidRDefault="000608EE" w:rsidP="00C03AA6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530663">
              <w:rPr>
                <w:rFonts w:eastAsia="MS Mincho"/>
                <w:b/>
                <w:szCs w:val="24"/>
              </w:rPr>
              <w:t>Forma výučby: Prednáška</w:t>
            </w:r>
          </w:p>
          <w:p w14:paraId="2360A309" w14:textId="77777777" w:rsidR="000608EE" w:rsidRPr="00530663" w:rsidRDefault="000608EE" w:rsidP="00C03AA6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530663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4D5B56ED" w14:textId="77777777" w:rsidR="000608EE" w:rsidRPr="00530663" w:rsidRDefault="000608EE" w:rsidP="00C03AA6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530663">
              <w:rPr>
                <w:rFonts w:eastAsia="MS Mincho"/>
                <w:b/>
                <w:bCs/>
                <w:szCs w:val="24"/>
              </w:rPr>
              <w:t>Týždenný:</w:t>
            </w:r>
            <w:r w:rsidRPr="00530663">
              <w:rPr>
                <w:rFonts w:eastAsia="MS Mincho"/>
                <w:bCs/>
                <w:szCs w:val="24"/>
              </w:rPr>
              <w:t xml:space="preserve"> 2          Za obdobie štúdia: 26</w:t>
            </w:r>
            <w:r w:rsidRPr="00530663">
              <w:rPr>
                <w:rFonts w:eastAsia="MS Mincho"/>
                <w:bCs/>
                <w:szCs w:val="24"/>
              </w:rPr>
              <w:tab/>
            </w:r>
            <w:r w:rsidRPr="00530663">
              <w:rPr>
                <w:rFonts w:eastAsia="MS Mincho"/>
                <w:bCs/>
                <w:szCs w:val="24"/>
              </w:rPr>
              <w:tab/>
            </w:r>
            <w:r w:rsidRPr="00530663">
              <w:rPr>
                <w:rFonts w:eastAsia="MS Mincho"/>
                <w:bCs/>
                <w:szCs w:val="24"/>
              </w:rPr>
              <w:tab/>
            </w:r>
            <w:r w:rsidRPr="00530663">
              <w:rPr>
                <w:rFonts w:eastAsia="MS Mincho"/>
                <w:bCs/>
                <w:szCs w:val="24"/>
              </w:rPr>
              <w:tab/>
            </w:r>
            <w:r w:rsidRPr="00530663">
              <w:rPr>
                <w:rFonts w:eastAsia="MS Mincho"/>
                <w:bCs/>
                <w:szCs w:val="24"/>
              </w:rPr>
              <w:tab/>
            </w:r>
            <w:r w:rsidRPr="00530663">
              <w:rPr>
                <w:rFonts w:eastAsia="MS Mincho"/>
                <w:bCs/>
                <w:szCs w:val="24"/>
              </w:rPr>
              <w:tab/>
            </w:r>
          </w:p>
          <w:p w14:paraId="4422A6F4" w14:textId="77777777" w:rsidR="000608EE" w:rsidRPr="00530663" w:rsidRDefault="000608EE" w:rsidP="00C03AA6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530663">
              <w:rPr>
                <w:rFonts w:eastAsia="MS Mincho"/>
                <w:b/>
                <w:bCs/>
                <w:szCs w:val="24"/>
              </w:rPr>
              <w:t xml:space="preserve">Metóda štúdia: prezenčná </w:t>
            </w:r>
          </w:p>
        </w:tc>
      </w:tr>
      <w:tr w:rsidR="000608EE" w:rsidRPr="00530663" w14:paraId="604FD518" w14:textId="77777777" w:rsidTr="00C03AA6">
        <w:trPr>
          <w:trHeight w:val="286"/>
        </w:trPr>
        <w:tc>
          <w:tcPr>
            <w:tcW w:w="9322" w:type="dxa"/>
            <w:gridSpan w:val="7"/>
          </w:tcPr>
          <w:p w14:paraId="3C9FFA3D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b/>
                <w:szCs w:val="24"/>
              </w:rPr>
              <w:t xml:space="preserve">Počet kreditov: </w:t>
            </w:r>
            <w:r w:rsidRPr="00530663">
              <w:rPr>
                <w:bCs/>
                <w:szCs w:val="24"/>
              </w:rPr>
              <w:t xml:space="preserve">2                             </w:t>
            </w:r>
            <w:r w:rsidRPr="00530663">
              <w:rPr>
                <w:b/>
                <w:bCs/>
                <w:szCs w:val="24"/>
              </w:rPr>
              <w:t>Pracovná záťaž:</w:t>
            </w:r>
            <w:r w:rsidRPr="00530663">
              <w:rPr>
                <w:bCs/>
                <w:szCs w:val="24"/>
              </w:rPr>
              <w:t xml:space="preserve"> 50 hodín</w:t>
            </w:r>
          </w:p>
        </w:tc>
      </w:tr>
      <w:tr w:rsidR="000608EE" w:rsidRPr="00530663" w14:paraId="5D7AC9A7" w14:textId="77777777" w:rsidTr="00C03AA6">
        <w:tc>
          <w:tcPr>
            <w:tcW w:w="9322" w:type="dxa"/>
            <w:gridSpan w:val="7"/>
          </w:tcPr>
          <w:p w14:paraId="71AEE457" w14:textId="00211836" w:rsidR="000608EE" w:rsidRPr="00530663" w:rsidRDefault="000608EE" w:rsidP="00B76C50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b/>
                <w:szCs w:val="24"/>
              </w:rPr>
              <w:t>Odporúčaný semester/trimester štúdia:</w:t>
            </w:r>
            <w:r w:rsidRPr="00530663">
              <w:rPr>
                <w:szCs w:val="24"/>
              </w:rPr>
              <w:t xml:space="preserve"> </w:t>
            </w:r>
            <w:r w:rsidR="00B76C50">
              <w:rPr>
                <w:szCs w:val="24"/>
              </w:rPr>
              <w:t>1.</w:t>
            </w:r>
            <w:bookmarkStart w:id="0" w:name="_GoBack"/>
            <w:bookmarkEnd w:id="0"/>
          </w:p>
        </w:tc>
      </w:tr>
      <w:tr w:rsidR="000608EE" w:rsidRPr="00530663" w14:paraId="1988028F" w14:textId="77777777" w:rsidTr="00C03AA6">
        <w:tc>
          <w:tcPr>
            <w:tcW w:w="9322" w:type="dxa"/>
            <w:gridSpan w:val="7"/>
          </w:tcPr>
          <w:p w14:paraId="4A96E2CF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b/>
                <w:szCs w:val="24"/>
              </w:rPr>
              <w:t>Stupeň štúdia:</w:t>
            </w:r>
            <w:r w:rsidRPr="00530663">
              <w:rPr>
                <w:szCs w:val="24"/>
              </w:rPr>
              <w:t xml:space="preserve"> I. </w:t>
            </w:r>
          </w:p>
        </w:tc>
      </w:tr>
      <w:tr w:rsidR="000608EE" w:rsidRPr="00530663" w14:paraId="79D7FFD6" w14:textId="77777777" w:rsidTr="00C03AA6">
        <w:tc>
          <w:tcPr>
            <w:tcW w:w="9322" w:type="dxa"/>
            <w:gridSpan w:val="7"/>
          </w:tcPr>
          <w:p w14:paraId="11D6D5E2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b/>
                <w:szCs w:val="24"/>
              </w:rPr>
              <w:t>Podmieňujúce predmety:</w:t>
            </w:r>
            <w:r w:rsidRPr="00530663">
              <w:rPr>
                <w:szCs w:val="24"/>
              </w:rPr>
              <w:t xml:space="preserve"> </w:t>
            </w:r>
          </w:p>
        </w:tc>
      </w:tr>
      <w:tr w:rsidR="000608EE" w:rsidRPr="00530663" w14:paraId="354B348E" w14:textId="77777777" w:rsidTr="00C03AA6">
        <w:tc>
          <w:tcPr>
            <w:tcW w:w="9322" w:type="dxa"/>
            <w:gridSpan w:val="7"/>
          </w:tcPr>
          <w:p w14:paraId="6E7EB28B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b/>
                <w:szCs w:val="24"/>
              </w:rPr>
              <w:t xml:space="preserve">Podmienky na absolvovanie predmetu: </w:t>
            </w:r>
          </w:p>
          <w:p w14:paraId="0D947DCD" w14:textId="77777777" w:rsidR="000608EE" w:rsidRPr="00530663" w:rsidRDefault="000608EE" w:rsidP="000608EE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záverečné hodnotenie: ústna skúška</w:t>
            </w:r>
          </w:p>
          <w:p w14:paraId="14AAEC54" w14:textId="77777777" w:rsidR="000608EE" w:rsidRPr="00530663" w:rsidRDefault="000608EE" w:rsidP="00C03AA6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530663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 </w:t>
            </w:r>
            <w:r w:rsidRPr="00530663">
              <w:rPr>
                <w:color w:val="FF0000"/>
                <w:szCs w:val="24"/>
              </w:rPr>
              <w:t xml:space="preserve">      </w:t>
            </w:r>
          </w:p>
          <w:p w14:paraId="7C391799" w14:textId="57913EB6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530663">
              <w:rPr>
                <w:color w:val="000000" w:themeColor="text1"/>
                <w:szCs w:val="24"/>
              </w:rPr>
              <w:t>60</w:t>
            </w:r>
            <w:r w:rsidRPr="00530663">
              <w:rPr>
                <w:color w:val="FF0000"/>
                <w:szCs w:val="24"/>
              </w:rPr>
              <w:t xml:space="preserve"> </w:t>
            </w:r>
            <w:r w:rsidRPr="00530663">
              <w:rPr>
                <w:szCs w:val="24"/>
              </w:rPr>
              <w:t xml:space="preserve">zo 100 bodov (60% </w:t>
            </w:r>
            <w:r w:rsidR="00530663">
              <w:rPr>
                <w:szCs w:val="24"/>
              </w:rPr>
              <w:t>/</w:t>
            </w:r>
            <w:r w:rsidRPr="00530663">
              <w:rPr>
                <w:szCs w:val="24"/>
              </w:rPr>
              <w:t>100%)</w:t>
            </w:r>
          </w:p>
        </w:tc>
      </w:tr>
      <w:tr w:rsidR="000608EE" w:rsidRPr="00530663" w14:paraId="29E639B8" w14:textId="77777777" w:rsidTr="00C03AA6">
        <w:tc>
          <w:tcPr>
            <w:tcW w:w="9322" w:type="dxa"/>
            <w:gridSpan w:val="7"/>
          </w:tcPr>
          <w:p w14:paraId="212BFBB0" w14:textId="77777777" w:rsidR="000608EE" w:rsidRPr="00530663" w:rsidRDefault="000608EE" w:rsidP="00C03AA6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530663">
              <w:rPr>
                <w:b/>
                <w:szCs w:val="24"/>
              </w:rPr>
              <w:t xml:space="preserve">Výsledky vzdelávania: </w:t>
            </w:r>
          </w:p>
          <w:p w14:paraId="2F634915" w14:textId="77777777" w:rsidR="000608EE" w:rsidRPr="00530663" w:rsidRDefault="000608EE" w:rsidP="000608E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530663">
              <w:rPr>
                <w:b/>
                <w:szCs w:val="24"/>
              </w:rPr>
              <w:t xml:space="preserve">Vedomosti: </w:t>
            </w:r>
            <w:r w:rsidRPr="00530663">
              <w:rPr>
                <w:bCs/>
                <w:szCs w:val="24"/>
              </w:rPr>
              <w:t>pozná dejiny charitatívnej práce, pozná princípy charitatívnej práce.</w:t>
            </w:r>
          </w:p>
          <w:p w14:paraId="0EF782AC" w14:textId="77777777" w:rsidR="000608EE" w:rsidRPr="00530663" w:rsidRDefault="000608EE" w:rsidP="000608E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530663">
              <w:rPr>
                <w:b/>
                <w:szCs w:val="24"/>
              </w:rPr>
              <w:t>Zručnosti:</w:t>
            </w:r>
            <w:r w:rsidRPr="00530663">
              <w:rPr>
                <w:szCs w:val="24"/>
                <w:lang w:eastAsia="en-US"/>
              </w:rPr>
              <w:t xml:space="preserve"> vie aplikovať vybrané nástroje a metódy  v rámci charitatívnej práce, vie aplikovať činnosti v charitatívnej práci,</w:t>
            </w:r>
          </w:p>
          <w:p w14:paraId="485CC45F" w14:textId="77777777" w:rsidR="000608EE" w:rsidRPr="00530663" w:rsidRDefault="000608EE" w:rsidP="000608E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530663">
              <w:rPr>
                <w:b/>
                <w:szCs w:val="24"/>
              </w:rPr>
              <w:t>Kompetentnosti:</w:t>
            </w:r>
            <w:r w:rsidRPr="00530663">
              <w:rPr>
                <w:szCs w:val="24"/>
                <w:lang w:eastAsia="en-US"/>
              </w:rPr>
              <w:t xml:space="preserve"> má schopnosť zvýšiť efektívnosť v charitatívnej činnosti, vie organizovať a plánovať jednotlivé východiská v rámci charitatívnej pomoc, má schopnosť riešiť sociálne problémy doby, </w:t>
            </w:r>
          </w:p>
        </w:tc>
      </w:tr>
      <w:tr w:rsidR="000608EE" w:rsidRPr="00530663" w14:paraId="6BAFC23B" w14:textId="77777777" w:rsidTr="00C03AA6">
        <w:tc>
          <w:tcPr>
            <w:tcW w:w="9322" w:type="dxa"/>
            <w:gridSpan w:val="7"/>
          </w:tcPr>
          <w:p w14:paraId="00410D15" w14:textId="77777777" w:rsidR="000608EE" w:rsidRPr="00530663" w:rsidRDefault="000608EE" w:rsidP="00C03AA6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530663">
              <w:rPr>
                <w:b/>
                <w:szCs w:val="24"/>
              </w:rPr>
              <w:t xml:space="preserve">Stručná osnova predmetu: </w:t>
            </w:r>
          </w:p>
          <w:p w14:paraId="5A9F8BCF" w14:textId="77777777" w:rsidR="000608EE" w:rsidRPr="00530663" w:rsidRDefault="000608EE" w:rsidP="000608EE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Úvod do štúdia cirkevných dejín. Periodizácia a všeobecná charakteristika cirkevných a sociálnych cirkevných dejín.</w:t>
            </w:r>
          </w:p>
          <w:p w14:paraId="35C37259" w14:textId="77777777" w:rsidR="000608EE" w:rsidRPr="00530663" w:rsidRDefault="000608EE" w:rsidP="000608EE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Politická, náboženská a sociálna charakteristika Rímskej ríše.</w:t>
            </w:r>
          </w:p>
          <w:p w14:paraId="260682A5" w14:textId="77777777" w:rsidR="000608EE" w:rsidRPr="00530663" w:rsidRDefault="000608EE" w:rsidP="000608EE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Podiel ranného kresťanstva na transformácii rímskej otrokárskej spoločnosti. Sociálny rozmer antickej Cirkvi.</w:t>
            </w:r>
          </w:p>
          <w:p w14:paraId="62CEC443" w14:textId="77777777" w:rsidR="000608EE" w:rsidRPr="00530663" w:rsidRDefault="000608EE" w:rsidP="000608EE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Kresťanský pohľad na otroctvo, prácu a majetok v období staroveku. Zrod stredoveku, charakteristika spoločnosti. Žobravé rády stredoveku.</w:t>
            </w:r>
          </w:p>
          <w:p w14:paraId="314C33C1" w14:textId="77777777" w:rsidR="000608EE" w:rsidRPr="00530663" w:rsidRDefault="000608EE" w:rsidP="000608EE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Stredoveké univerzity a hospitálske rehole.</w:t>
            </w:r>
          </w:p>
          <w:p w14:paraId="536A3ECA" w14:textId="77777777" w:rsidR="000608EE" w:rsidRPr="00530663" w:rsidRDefault="000608EE" w:rsidP="000608EE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Humanizmus a jeho pohľad na človeka.</w:t>
            </w:r>
          </w:p>
          <w:p w14:paraId="2DF7B6C2" w14:textId="77777777" w:rsidR="000608EE" w:rsidRPr="00530663" w:rsidRDefault="000608EE" w:rsidP="000608EE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Konfesionalizácia a proces laicizácie spoločnosti v novoveku.</w:t>
            </w:r>
          </w:p>
          <w:p w14:paraId="132AEF1F" w14:textId="77777777" w:rsidR="000608EE" w:rsidRPr="00530663" w:rsidRDefault="000608EE" w:rsidP="000608EE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 xml:space="preserve">Osvietenstvo. Jozefinizmus. </w:t>
            </w:r>
          </w:p>
          <w:p w14:paraId="7124260A" w14:textId="77777777" w:rsidR="000608EE" w:rsidRPr="00530663" w:rsidRDefault="000608EE" w:rsidP="000608EE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Jezuitská rehoľa a jej činnosť.</w:t>
            </w:r>
          </w:p>
          <w:p w14:paraId="12D44D2A" w14:textId="77777777" w:rsidR="000608EE" w:rsidRPr="00530663" w:rsidRDefault="000608EE" w:rsidP="000608EE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Veľká francúzska revolúcia, jej dedičstvo a význam v moderných dejinách Európy.</w:t>
            </w:r>
          </w:p>
          <w:p w14:paraId="75A0FDBA" w14:textId="77777777" w:rsidR="000608EE" w:rsidRPr="00530663" w:rsidRDefault="000608EE" w:rsidP="000608EE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Robotnícka otázka a Cirkev v 19. storočí. Lev XIII. – Rerum novarum.</w:t>
            </w:r>
          </w:p>
          <w:p w14:paraId="3C32AEA0" w14:textId="77777777" w:rsidR="000608EE" w:rsidRPr="00530663" w:rsidRDefault="000608EE" w:rsidP="000608EE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Cirkev a liberalizmus.</w:t>
            </w:r>
          </w:p>
          <w:p w14:paraId="7F61F2E2" w14:textId="77777777" w:rsidR="000608EE" w:rsidRPr="00530663" w:rsidRDefault="000608EE" w:rsidP="000608EE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Totalitné režimy 20. storočia a postoj Cirkvi voči nim.</w:t>
            </w:r>
          </w:p>
        </w:tc>
      </w:tr>
      <w:tr w:rsidR="000608EE" w:rsidRPr="00530663" w14:paraId="2AE19528" w14:textId="77777777" w:rsidTr="00C03AA6">
        <w:tc>
          <w:tcPr>
            <w:tcW w:w="9322" w:type="dxa"/>
            <w:gridSpan w:val="7"/>
          </w:tcPr>
          <w:p w14:paraId="50BB54A2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b/>
                <w:szCs w:val="24"/>
              </w:rPr>
              <w:t>Odporúčaná literatúra:</w:t>
            </w:r>
            <w:r w:rsidRPr="00530663">
              <w:rPr>
                <w:szCs w:val="24"/>
              </w:rPr>
              <w:t xml:space="preserve"> </w:t>
            </w:r>
          </w:p>
          <w:p w14:paraId="3DAAA6CA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BAGIN, A. Cirkevné dejiny – starovek. Trnava : SSV, 1989. 148 s.</w:t>
            </w:r>
          </w:p>
          <w:p w14:paraId="56CD685A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lastRenderedPageBreak/>
              <w:t>BUDAYOVÁ, Z. BURSOVÁ, J. Charitatívna sociálna práca. Warszawa:  Szkola Wyzsza im Bogdana Janskiego, 2016, 188s. ISBN 978-83-87897-15-4.</w:t>
            </w:r>
          </w:p>
          <w:p w14:paraId="21291DCA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BURSOVÁ, J. BUDAYOVÁ, Z. Dobrovoľníctvo. Košice: Vienala, 2012, 59s. ISBN 978-80-8126-054-4.</w:t>
            </w:r>
          </w:p>
          <w:p w14:paraId="416880BC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BUCKO, V. Cirkev Kristova v dejinách. Bratislava : SSV, 1944. 238 s.</w:t>
            </w:r>
          </w:p>
          <w:p w14:paraId="611F8888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ČAPLOVIČ, D. a kol. Dejiny Slovenska. Bratislava : AEP, 2000. 310 s. ISBN 8088880394.</w:t>
            </w:r>
          </w:p>
          <w:p w14:paraId="11C5BA40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DOLINSKÝ, J. Dejiny Cirkvi I. Bratislava : Aloisianum, 1996. 329 s.</w:t>
            </w:r>
          </w:p>
          <w:p w14:paraId="6986F1DA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FESTING, H. Stretnutie s Adolfom Kolpingom. Prešov : Vydavateľstvo Michala Vaška, 2005.146 s. ISBN 8071655295.</w:t>
            </w:r>
          </w:p>
          <w:p w14:paraId="78F938C5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FRANZEN, A. Malé cirkevní dějiny. Praha : ZVON, 1992. 334 s. ISBN 8071130087.</w:t>
            </w:r>
          </w:p>
          <w:p w14:paraId="0C03D215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FRÖHLICH, R. Dva tisíce let dějin církve. Praha : Vyšehrad, 1999. 303 s. ISBN 8070212683.</w:t>
            </w:r>
          </w:p>
          <w:p w14:paraId="099F347E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HERTLING, L. Dejiny katolíckej Cirkvi. Cambridge, Ont. : Dobrá kniha, 1983. 483 s.</w:t>
            </w:r>
          </w:p>
          <w:p w14:paraId="3BAD767A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HROMJÁK, Ľ. Kresťanstvo v Rímskej ríši do roku 313. Spišské Podhradie : Nadácia Kňazského seminára biskupa Jána Vojtaššáka, 2013. 120 s. ISBN 9788080849856.</w:t>
            </w:r>
          </w:p>
          <w:p w14:paraId="08A702B6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HROMJÁK, Ľ. Rerum novarum : predstavenie Leva XIII. a jeho doby. In Duchovný pastier, 2011, roč. 92, č. 5, s. 199-214. ISSN 0139-861X.</w:t>
            </w:r>
          </w:p>
          <w:p w14:paraId="0A1FB22C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HROMJÁK, Ľ. Vybrané kapitoly zo sociálnych cirkevných dejín. Ružomberok : VERBUM, 2014. 155 s.</w:t>
            </w:r>
          </w:p>
          <w:p w14:paraId="7D030258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JUDÁK, V. Kristova Cirkev na ceste. Trnava : SSV, 1998. 335 s. ISBN 807162215X.</w:t>
            </w:r>
          </w:p>
          <w:p w14:paraId="777DEB4B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JUDÁK, V.- ČEKOVSKÁ, E. Prehľadné cirkevné dejiny. Bratislava : LÚČ, 1996. 304 s. ISBN 8071141879.</w:t>
            </w:r>
          </w:p>
          <w:p w14:paraId="34B889DE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ŠPIRKO, J. Cirkevné dejiny s osobitným zreteľom na vývin cirkevných dejín Slovenska I. Turč.sv. Martin : Neografia, 1943. 477 s.</w:t>
            </w:r>
          </w:p>
          <w:p w14:paraId="268DD999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ŠPIRKO, J. Cirkevné dejiny s osobitným zreteľom na vývin cirkevných dejín Slovenska II. Turč. sv. Martin : Neografia, 1943. 540 s.</w:t>
            </w:r>
          </w:p>
        </w:tc>
      </w:tr>
      <w:tr w:rsidR="000608EE" w:rsidRPr="00530663" w14:paraId="1959FA47" w14:textId="77777777" w:rsidTr="00C03AA6">
        <w:tc>
          <w:tcPr>
            <w:tcW w:w="9322" w:type="dxa"/>
            <w:gridSpan w:val="7"/>
          </w:tcPr>
          <w:p w14:paraId="2B23D974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530663">
              <w:rPr>
                <w:szCs w:val="24"/>
              </w:rPr>
              <w:t xml:space="preserve"> slovenský</w:t>
            </w:r>
          </w:p>
        </w:tc>
      </w:tr>
      <w:tr w:rsidR="000608EE" w:rsidRPr="00530663" w14:paraId="4902DC14" w14:textId="77777777" w:rsidTr="00C03AA6">
        <w:tc>
          <w:tcPr>
            <w:tcW w:w="9322" w:type="dxa"/>
            <w:gridSpan w:val="7"/>
          </w:tcPr>
          <w:p w14:paraId="2BE3460B" w14:textId="77777777" w:rsidR="000608EE" w:rsidRPr="00530663" w:rsidRDefault="000608EE" w:rsidP="00C03AA6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530663">
              <w:rPr>
                <w:b/>
                <w:szCs w:val="24"/>
              </w:rPr>
              <w:t>Poznámky:</w:t>
            </w:r>
          </w:p>
        </w:tc>
      </w:tr>
      <w:tr w:rsidR="000608EE" w:rsidRPr="00530663" w14:paraId="0EC6D0BA" w14:textId="77777777" w:rsidTr="00C03AA6">
        <w:tc>
          <w:tcPr>
            <w:tcW w:w="9322" w:type="dxa"/>
            <w:gridSpan w:val="7"/>
          </w:tcPr>
          <w:p w14:paraId="0DC1BB11" w14:textId="77777777" w:rsidR="000608EE" w:rsidRPr="00530663" w:rsidRDefault="000608EE" w:rsidP="00C03AA6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530663">
              <w:rPr>
                <w:b/>
                <w:szCs w:val="24"/>
              </w:rPr>
              <w:t xml:space="preserve">Hodnotenie predmetov </w:t>
            </w:r>
          </w:p>
          <w:p w14:paraId="5C323FCF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 xml:space="preserve">Celkový počet hodnotených študentov: </w:t>
            </w:r>
          </w:p>
        </w:tc>
      </w:tr>
      <w:tr w:rsidR="000608EE" w:rsidRPr="00530663" w14:paraId="03C34A66" w14:textId="77777777" w:rsidTr="00C03AA6">
        <w:tc>
          <w:tcPr>
            <w:tcW w:w="1535" w:type="dxa"/>
          </w:tcPr>
          <w:p w14:paraId="7C4231F4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12835B4C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54523D9D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7212830E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4B3A93D1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214589C7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FX</w:t>
            </w:r>
          </w:p>
        </w:tc>
      </w:tr>
      <w:tr w:rsidR="000608EE" w:rsidRPr="00530663" w14:paraId="68860A27" w14:textId="77777777" w:rsidTr="00C03AA6">
        <w:tc>
          <w:tcPr>
            <w:tcW w:w="1535" w:type="dxa"/>
          </w:tcPr>
          <w:p w14:paraId="7609D9E2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72F8A118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4749086F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57D567C2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30FA6AB9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11DD0E9B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szCs w:val="24"/>
              </w:rPr>
              <w:t>10,5%</w:t>
            </w:r>
          </w:p>
        </w:tc>
      </w:tr>
      <w:tr w:rsidR="000608EE" w:rsidRPr="00530663" w14:paraId="35311366" w14:textId="77777777" w:rsidTr="00C03AA6">
        <w:tc>
          <w:tcPr>
            <w:tcW w:w="9322" w:type="dxa"/>
            <w:gridSpan w:val="7"/>
          </w:tcPr>
          <w:p w14:paraId="79405CB2" w14:textId="77777777" w:rsidR="000608EE" w:rsidRPr="00530663" w:rsidRDefault="000608EE" w:rsidP="00C03AA6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0608EE" w:rsidRPr="00530663" w14:paraId="4A5086E7" w14:textId="77777777" w:rsidTr="00C03AA6">
        <w:tc>
          <w:tcPr>
            <w:tcW w:w="9322" w:type="dxa"/>
            <w:gridSpan w:val="7"/>
          </w:tcPr>
          <w:p w14:paraId="36C1F7E9" w14:textId="2CDAC668" w:rsidR="000608EE" w:rsidRPr="00530663" w:rsidRDefault="000608EE" w:rsidP="00C03AA6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b/>
                <w:szCs w:val="24"/>
              </w:rPr>
              <w:t>Vyučujúci:</w:t>
            </w:r>
            <w:r w:rsidRPr="00530663">
              <w:rPr>
                <w:szCs w:val="24"/>
              </w:rPr>
              <w:t xml:space="preserve"> doc. HEDr. Ľubomír Hrom</w:t>
            </w:r>
            <w:r w:rsidR="00530663">
              <w:rPr>
                <w:szCs w:val="24"/>
              </w:rPr>
              <w:t>j</w:t>
            </w:r>
            <w:r w:rsidRPr="00530663">
              <w:rPr>
                <w:szCs w:val="24"/>
              </w:rPr>
              <w:t xml:space="preserve">ak, PhD., PhDr. Mgr. Zuzana Budayová, PhD.                                  </w:t>
            </w:r>
          </w:p>
        </w:tc>
      </w:tr>
      <w:tr w:rsidR="000608EE" w:rsidRPr="00530663" w14:paraId="4BE62469" w14:textId="77777777" w:rsidTr="00C03AA6">
        <w:tc>
          <w:tcPr>
            <w:tcW w:w="9322" w:type="dxa"/>
            <w:gridSpan w:val="7"/>
          </w:tcPr>
          <w:p w14:paraId="0E541CEB" w14:textId="77777777" w:rsidR="000608EE" w:rsidRPr="00530663" w:rsidRDefault="000608EE" w:rsidP="00C03AA6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b/>
                <w:szCs w:val="24"/>
              </w:rPr>
              <w:t>Dátum poslednej zmeny:</w:t>
            </w:r>
            <w:r w:rsidRPr="00530663">
              <w:rPr>
                <w:szCs w:val="24"/>
              </w:rPr>
              <w:t xml:space="preserve"> 10. 03. 2022</w:t>
            </w:r>
          </w:p>
        </w:tc>
      </w:tr>
      <w:tr w:rsidR="000608EE" w:rsidRPr="00530663" w14:paraId="0D0A9077" w14:textId="77777777" w:rsidTr="00C03AA6">
        <w:tc>
          <w:tcPr>
            <w:tcW w:w="9322" w:type="dxa"/>
            <w:gridSpan w:val="7"/>
          </w:tcPr>
          <w:p w14:paraId="570F9D18" w14:textId="77777777" w:rsidR="000608EE" w:rsidRPr="00530663" w:rsidRDefault="000608EE" w:rsidP="00C03AA6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530663">
              <w:rPr>
                <w:b/>
                <w:szCs w:val="24"/>
              </w:rPr>
              <w:t>Schválil:</w:t>
            </w:r>
            <w:r w:rsidRPr="00530663">
              <w:rPr>
                <w:szCs w:val="24"/>
              </w:rPr>
              <w:t xml:space="preserve"> prof. ThDr. Edward Zygmunt Jarmoch, PhD.</w:t>
            </w:r>
          </w:p>
        </w:tc>
      </w:tr>
    </w:tbl>
    <w:p w14:paraId="25DFF1D9" w14:textId="77777777" w:rsidR="003263E6" w:rsidRPr="00530663" w:rsidRDefault="003263E6">
      <w:pPr>
        <w:rPr>
          <w:szCs w:val="24"/>
        </w:rPr>
      </w:pPr>
    </w:p>
    <w:sectPr w:rsidR="003263E6" w:rsidRPr="00530663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D58AC" w14:textId="77777777" w:rsidR="00BE52C4" w:rsidRDefault="00BE52C4" w:rsidP="000608EE">
      <w:pPr>
        <w:spacing w:after="0" w:line="240" w:lineRule="auto"/>
      </w:pPr>
      <w:r>
        <w:separator/>
      </w:r>
    </w:p>
  </w:endnote>
  <w:endnote w:type="continuationSeparator" w:id="0">
    <w:p w14:paraId="666421B6" w14:textId="77777777" w:rsidR="00BE52C4" w:rsidRDefault="00BE52C4" w:rsidP="00060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C5BAF" w14:textId="77777777" w:rsidR="00BE52C4" w:rsidRDefault="00BE52C4" w:rsidP="000608EE">
      <w:pPr>
        <w:spacing w:after="0" w:line="240" w:lineRule="auto"/>
      </w:pPr>
      <w:r>
        <w:separator/>
      </w:r>
    </w:p>
  </w:footnote>
  <w:footnote w:type="continuationSeparator" w:id="0">
    <w:p w14:paraId="706A72F7" w14:textId="77777777" w:rsidR="00BE52C4" w:rsidRDefault="00BE52C4" w:rsidP="00060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D7E1A" w14:textId="77777777" w:rsidR="000608EE" w:rsidRDefault="000608EE" w:rsidP="000608EE">
    <w:pPr>
      <w:pStyle w:val="Hlavika"/>
      <w:jc w:val="right"/>
    </w:pPr>
    <w:r>
      <w:t>FO-082/0</w:t>
    </w:r>
  </w:p>
  <w:p w14:paraId="5ECE26D1" w14:textId="77777777" w:rsidR="000608EE" w:rsidRDefault="000608EE" w:rsidP="000608EE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D70C5"/>
    <w:multiLevelType w:val="hybridMultilevel"/>
    <w:tmpl w:val="ECD652D2"/>
    <w:lvl w:ilvl="0" w:tplc="BBE2508C">
      <w:start w:val="1"/>
      <w:numFmt w:val="decimal"/>
      <w:lvlText w:val="%1."/>
      <w:lvlJc w:val="left"/>
      <w:pPr>
        <w:ind w:left="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46469A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3C7112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D4A6E8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DE9288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DA74FE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CE7E34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78AA4E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C6944E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0E2E59"/>
    <w:multiLevelType w:val="hybridMultilevel"/>
    <w:tmpl w:val="2E1E7E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11F3A"/>
    <w:multiLevelType w:val="hybridMultilevel"/>
    <w:tmpl w:val="3F54D3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8EE"/>
    <w:rsid w:val="000608EE"/>
    <w:rsid w:val="003263E6"/>
    <w:rsid w:val="004D43BA"/>
    <w:rsid w:val="00526D6E"/>
    <w:rsid w:val="00530663"/>
    <w:rsid w:val="00B76C50"/>
    <w:rsid w:val="00BE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74A3A"/>
  <w15:chartTrackingRefBased/>
  <w15:docId w15:val="{4586E18A-32AC-4569-BADE-EDE4B16A0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608EE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608EE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60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608EE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60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608EE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664</Words>
  <Characters>3789</Characters>
  <Application>Microsoft Office Word</Application>
  <DocSecurity>0</DocSecurity>
  <Lines>31</Lines>
  <Paragraphs>8</Paragraphs>
  <ScaleCrop>false</ScaleCrop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4</cp:revision>
  <dcterms:created xsi:type="dcterms:W3CDTF">2022-03-21T14:26:00Z</dcterms:created>
  <dcterms:modified xsi:type="dcterms:W3CDTF">2022-05-04T08:23:00Z</dcterms:modified>
</cp:coreProperties>
</file>