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B2B87" w14:textId="5B8C6EB2" w:rsidR="00C068FE" w:rsidRPr="00A12FED" w:rsidRDefault="00A53CCE" w:rsidP="00A12FED">
      <w:pPr>
        <w:pStyle w:val="Zkladntext"/>
        <w:spacing w:before="71"/>
        <w:ind w:left="3048" w:right="3067"/>
        <w:jc w:val="both"/>
      </w:pPr>
      <w:r w:rsidRPr="00A12FED">
        <w:t>INFORMAČNÝ LIST PREDMETU</w:t>
      </w:r>
    </w:p>
    <w:p w14:paraId="09F1DA79" w14:textId="77777777" w:rsidR="00C068FE" w:rsidRPr="00A12FED" w:rsidRDefault="00C068FE" w:rsidP="00A12FED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0"/>
        <w:gridCol w:w="1335"/>
        <w:gridCol w:w="420"/>
        <w:gridCol w:w="1710"/>
        <w:gridCol w:w="1755"/>
        <w:gridCol w:w="1575"/>
        <w:gridCol w:w="1343"/>
      </w:tblGrid>
      <w:tr w:rsidR="00C068FE" w:rsidRPr="00A12FED" w14:paraId="0DADA904" w14:textId="77777777">
        <w:trPr>
          <w:trHeight w:val="387"/>
        </w:trPr>
        <w:tc>
          <w:tcPr>
            <w:tcW w:w="9638" w:type="dxa"/>
            <w:gridSpan w:val="7"/>
          </w:tcPr>
          <w:p w14:paraId="1E57142C" w14:textId="77777777" w:rsidR="00C068FE" w:rsidRPr="00A12FED" w:rsidRDefault="00A53CCE" w:rsidP="00A12FED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 xml:space="preserve">Vysoká škola: </w:t>
            </w:r>
            <w:r w:rsidRPr="00A12FED">
              <w:rPr>
                <w:sz w:val="24"/>
                <w:szCs w:val="24"/>
              </w:rPr>
              <w:t>KATOLÍCKA UNIVERZITA V RUŽOMBERKU</w:t>
            </w:r>
          </w:p>
        </w:tc>
      </w:tr>
      <w:tr w:rsidR="00C068FE" w:rsidRPr="00A12FED" w14:paraId="70D95B3C" w14:textId="77777777">
        <w:trPr>
          <w:trHeight w:val="388"/>
        </w:trPr>
        <w:tc>
          <w:tcPr>
            <w:tcW w:w="9638" w:type="dxa"/>
            <w:gridSpan w:val="7"/>
          </w:tcPr>
          <w:p w14:paraId="5A39A770" w14:textId="77777777" w:rsidR="00C068FE" w:rsidRPr="00A12FED" w:rsidRDefault="00A53CCE" w:rsidP="00A12FED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 xml:space="preserve">Fakulta: </w:t>
            </w:r>
            <w:r w:rsidRPr="00A12FED">
              <w:rPr>
                <w:sz w:val="24"/>
                <w:szCs w:val="24"/>
              </w:rPr>
              <w:t>Teologická fakulta</w:t>
            </w:r>
          </w:p>
        </w:tc>
      </w:tr>
      <w:tr w:rsidR="00C068FE" w:rsidRPr="00A12FED" w14:paraId="64D26C36" w14:textId="77777777">
        <w:trPr>
          <w:trHeight w:val="670"/>
        </w:trPr>
        <w:tc>
          <w:tcPr>
            <w:tcW w:w="2835" w:type="dxa"/>
            <w:gridSpan w:val="2"/>
          </w:tcPr>
          <w:p w14:paraId="5D8E0E0C" w14:textId="77777777" w:rsidR="00C068FE" w:rsidRPr="00A12FED" w:rsidRDefault="00A53CCE" w:rsidP="00A12FED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 xml:space="preserve">Kód predmetu: </w:t>
            </w:r>
            <w:r w:rsidRPr="00A12FED">
              <w:rPr>
                <w:sz w:val="24"/>
                <w:szCs w:val="24"/>
              </w:rPr>
              <w:t>TSSP/ SPo2/15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2DBDC8F0" w14:textId="69FBCF7E" w:rsidR="00C068FE" w:rsidRPr="00A12FED" w:rsidRDefault="00A53CCE" w:rsidP="00A12FED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 xml:space="preserve">Názov predmetu: </w:t>
            </w:r>
            <w:r w:rsidRPr="00A12FED">
              <w:rPr>
                <w:sz w:val="24"/>
                <w:szCs w:val="24"/>
              </w:rPr>
              <w:t xml:space="preserve">Sociálna politika a sociálna správa </w:t>
            </w:r>
            <w:r w:rsidR="00411E06">
              <w:rPr>
                <w:sz w:val="24"/>
                <w:szCs w:val="24"/>
              </w:rPr>
              <w:t>pre SP</w:t>
            </w:r>
          </w:p>
        </w:tc>
      </w:tr>
      <w:tr w:rsidR="00C068FE" w:rsidRPr="00A12FED" w14:paraId="4F174744" w14:textId="77777777">
        <w:trPr>
          <w:trHeight w:val="1823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778E4954" w14:textId="77777777" w:rsidR="00C068FE" w:rsidRPr="00A12FED" w:rsidRDefault="00A53CCE" w:rsidP="00A12FED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01D7979F" w14:textId="242C18ED" w:rsidR="008F6A85" w:rsidRPr="00A12FED" w:rsidRDefault="008F6A85" w:rsidP="00A12FED">
            <w:pPr>
              <w:jc w:val="both"/>
              <w:rPr>
                <w:rFonts w:eastAsia="MS Mincho"/>
                <w:sz w:val="24"/>
                <w:szCs w:val="24"/>
              </w:rPr>
            </w:pPr>
            <w:r w:rsidRPr="00A12FED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A12FED">
              <w:rPr>
                <w:rFonts w:eastAsia="MS Mincho"/>
                <w:sz w:val="24"/>
                <w:szCs w:val="24"/>
              </w:rPr>
              <w:t>Povinný predmet</w:t>
            </w:r>
          </w:p>
          <w:p w14:paraId="28A00311" w14:textId="77777777" w:rsidR="00C068FE" w:rsidRPr="00A12FED" w:rsidRDefault="00A53CCE" w:rsidP="00A12FED">
            <w:pPr>
              <w:pStyle w:val="TableParagraph"/>
              <w:spacing w:before="12"/>
              <w:ind w:left="22"/>
              <w:jc w:val="both"/>
              <w:rPr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 xml:space="preserve">Forma výučby: </w:t>
            </w:r>
            <w:r w:rsidRPr="00A12FED">
              <w:rPr>
                <w:sz w:val="24"/>
                <w:szCs w:val="24"/>
              </w:rPr>
              <w:t>Prednáška</w:t>
            </w:r>
          </w:p>
          <w:p w14:paraId="1DA27E37" w14:textId="77777777" w:rsidR="00C068FE" w:rsidRPr="00A12FED" w:rsidRDefault="00A53CCE" w:rsidP="00A12FED">
            <w:pPr>
              <w:pStyle w:val="TableParagraph"/>
              <w:tabs>
                <w:tab w:val="left" w:pos="1970"/>
              </w:tabs>
              <w:spacing w:before="12" w:line="249" w:lineRule="auto"/>
              <w:ind w:left="22" w:right="5139"/>
              <w:jc w:val="both"/>
              <w:rPr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>Odporúčaný rozsah výučby (v</w:t>
            </w:r>
            <w:r w:rsidRPr="00A12FED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A12FED">
              <w:rPr>
                <w:b/>
                <w:sz w:val="24"/>
                <w:szCs w:val="24"/>
              </w:rPr>
              <w:t xml:space="preserve">hodinách): Týždenný: </w:t>
            </w:r>
            <w:r w:rsidRPr="00A12FED">
              <w:rPr>
                <w:sz w:val="24"/>
                <w:szCs w:val="24"/>
              </w:rPr>
              <w:t>2</w:t>
            </w:r>
            <w:r w:rsidRPr="00A12FED">
              <w:rPr>
                <w:sz w:val="24"/>
                <w:szCs w:val="24"/>
              </w:rPr>
              <w:tab/>
            </w:r>
            <w:r w:rsidRPr="00A12FED">
              <w:rPr>
                <w:b/>
                <w:sz w:val="24"/>
                <w:szCs w:val="24"/>
              </w:rPr>
              <w:t>Za obdobie štúdia:</w:t>
            </w:r>
            <w:r w:rsidRPr="00A12FE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26</w:t>
            </w:r>
          </w:p>
          <w:p w14:paraId="7DD0D20D" w14:textId="3B35231C" w:rsidR="00C068FE" w:rsidRPr="00A12FED" w:rsidRDefault="00A53CCE" w:rsidP="00A12FED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 xml:space="preserve">Metóda štúdia: </w:t>
            </w:r>
            <w:r w:rsidRPr="00A12FED">
              <w:rPr>
                <w:sz w:val="24"/>
                <w:szCs w:val="24"/>
              </w:rPr>
              <w:t xml:space="preserve">prezenčná </w:t>
            </w:r>
          </w:p>
        </w:tc>
      </w:tr>
      <w:tr w:rsidR="00C068FE" w:rsidRPr="00A12FED" w14:paraId="11FB3A1B" w14:textId="77777777">
        <w:trPr>
          <w:trHeight w:val="387"/>
        </w:trPr>
        <w:tc>
          <w:tcPr>
            <w:tcW w:w="2835" w:type="dxa"/>
            <w:gridSpan w:val="2"/>
          </w:tcPr>
          <w:p w14:paraId="4B15CFFF" w14:textId="77777777" w:rsidR="00C068FE" w:rsidRPr="00A12FED" w:rsidRDefault="00A53CCE" w:rsidP="00A12FED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 xml:space="preserve">Počet kreditov: </w:t>
            </w:r>
            <w:r w:rsidRPr="00A12FED">
              <w:rPr>
                <w:sz w:val="24"/>
                <w:szCs w:val="24"/>
              </w:rPr>
              <w:t>3</w:t>
            </w:r>
          </w:p>
        </w:tc>
        <w:tc>
          <w:tcPr>
            <w:tcW w:w="6803" w:type="dxa"/>
            <w:gridSpan w:val="5"/>
          </w:tcPr>
          <w:p w14:paraId="1ED950BE" w14:textId="77777777" w:rsidR="00C068FE" w:rsidRPr="00A12FED" w:rsidRDefault="00A53CCE" w:rsidP="00A12FED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 xml:space="preserve">Pracovná záťaž: </w:t>
            </w:r>
            <w:r w:rsidRPr="00A12FED">
              <w:rPr>
                <w:sz w:val="24"/>
                <w:szCs w:val="24"/>
              </w:rPr>
              <w:t>75 hodín</w:t>
            </w:r>
          </w:p>
        </w:tc>
      </w:tr>
      <w:tr w:rsidR="00C068FE" w:rsidRPr="00A12FED" w14:paraId="4A7450DF" w14:textId="77777777">
        <w:trPr>
          <w:trHeight w:val="388"/>
        </w:trPr>
        <w:tc>
          <w:tcPr>
            <w:tcW w:w="9638" w:type="dxa"/>
            <w:gridSpan w:val="7"/>
          </w:tcPr>
          <w:p w14:paraId="6DF0D04F" w14:textId="777EE5BB" w:rsidR="00C068FE" w:rsidRPr="00A12FED" w:rsidRDefault="00A53CCE" w:rsidP="00A12FED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AC44F4" w:rsidRPr="00AC44F4">
              <w:rPr>
                <w:sz w:val="24"/>
                <w:szCs w:val="24"/>
              </w:rPr>
              <w:t>1.</w:t>
            </w:r>
            <w:bookmarkEnd w:id="0"/>
          </w:p>
        </w:tc>
      </w:tr>
      <w:tr w:rsidR="00C068FE" w:rsidRPr="00A12FED" w14:paraId="5FB02742" w14:textId="77777777">
        <w:trPr>
          <w:trHeight w:val="388"/>
        </w:trPr>
        <w:tc>
          <w:tcPr>
            <w:tcW w:w="9638" w:type="dxa"/>
            <w:gridSpan w:val="7"/>
          </w:tcPr>
          <w:p w14:paraId="6B4F63AF" w14:textId="77777777" w:rsidR="00C068FE" w:rsidRPr="00A12FED" w:rsidRDefault="00A53CCE" w:rsidP="00A12FED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 xml:space="preserve">Stupeň štúdia: </w:t>
            </w:r>
            <w:r w:rsidRPr="00A12FED">
              <w:rPr>
                <w:sz w:val="24"/>
                <w:szCs w:val="24"/>
              </w:rPr>
              <w:t>II.</w:t>
            </w:r>
          </w:p>
        </w:tc>
      </w:tr>
      <w:tr w:rsidR="00C068FE" w:rsidRPr="00A12FED" w14:paraId="1DB83C02" w14:textId="77777777">
        <w:trPr>
          <w:trHeight w:val="382"/>
        </w:trPr>
        <w:tc>
          <w:tcPr>
            <w:tcW w:w="9638" w:type="dxa"/>
            <w:gridSpan w:val="7"/>
            <w:tcBorders>
              <w:bottom w:val="single" w:sz="12" w:space="0" w:color="000000"/>
            </w:tcBorders>
          </w:tcPr>
          <w:p w14:paraId="03DF0465" w14:textId="77777777" w:rsidR="00C068FE" w:rsidRPr="00A12FED" w:rsidRDefault="00A53CCE" w:rsidP="00A12FED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C068FE" w:rsidRPr="00A12FED" w14:paraId="07C12824" w14:textId="77777777">
        <w:trPr>
          <w:trHeight w:val="1530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3FE2DDBC" w14:textId="77777777" w:rsidR="00C068FE" w:rsidRPr="00A12FED" w:rsidRDefault="00A53CCE" w:rsidP="00A12FED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>Podmienky na absolvovanie predmetu:</w:t>
            </w:r>
          </w:p>
          <w:p w14:paraId="22BD7042" w14:textId="4968395A" w:rsidR="008F6A85" w:rsidRPr="00A12FED" w:rsidRDefault="008F6A85" w:rsidP="00A12FED">
            <w:pPr>
              <w:ind w:left="164"/>
              <w:jc w:val="both"/>
              <w:rPr>
                <w:sz w:val="24"/>
                <w:szCs w:val="24"/>
              </w:rPr>
            </w:pPr>
            <w:r w:rsidRPr="00A12FED">
              <w:rPr>
                <w:color w:val="222222"/>
                <w:sz w:val="24"/>
                <w:szCs w:val="24"/>
                <w:shd w:val="clear" w:color="auto" w:fill="FFFFFF"/>
              </w:rPr>
              <w:t>Skúška bude ústnou formou a pre jej úspešné zvládnutie musí študent dosiahnuť minimálne 60 % bodov.</w:t>
            </w:r>
          </w:p>
          <w:p w14:paraId="1AD2101F" w14:textId="678A22FA" w:rsidR="00C068FE" w:rsidRPr="00A12FED" w:rsidRDefault="008F6A85" w:rsidP="00A12FED">
            <w:pPr>
              <w:shd w:val="clear" w:color="auto" w:fill="FFFFFF"/>
              <w:ind w:left="164"/>
              <w:jc w:val="both"/>
              <w:rPr>
                <w:color w:val="222222"/>
                <w:sz w:val="24"/>
                <w:szCs w:val="24"/>
              </w:rPr>
            </w:pPr>
            <w:r w:rsidRPr="00A12FED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C068FE" w:rsidRPr="00A12FED" w14:paraId="3A2B2DAC" w14:textId="77777777">
        <w:trPr>
          <w:trHeight w:val="2111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182DAD5F" w14:textId="396CBD9E" w:rsidR="00C068FE" w:rsidRPr="00A12FED" w:rsidRDefault="00A53CCE" w:rsidP="00A12FED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>Výsledky vzdelávania:</w:t>
            </w:r>
          </w:p>
          <w:p w14:paraId="4B828BAA" w14:textId="77777777" w:rsidR="008F6A85" w:rsidRPr="00A12FED" w:rsidRDefault="008F6A85" w:rsidP="00A12FED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 xml:space="preserve">Vedomosti: </w:t>
            </w:r>
            <w:r w:rsidRPr="00A12FED">
              <w:rPr>
                <w:bCs/>
                <w:sz w:val="24"/>
                <w:szCs w:val="24"/>
              </w:rPr>
              <w:t xml:space="preserve">pozná </w:t>
            </w:r>
            <w:r w:rsidRPr="00A12FED">
              <w:rPr>
                <w:sz w:val="24"/>
                <w:szCs w:val="24"/>
              </w:rPr>
              <w:t>vedomosti o sociálnej politike v jej konkrétnych odvetviach.</w:t>
            </w:r>
            <w:r w:rsidRPr="00A12FED">
              <w:rPr>
                <w:spacing w:val="-1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Pozná</w:t>
            </w:r>
            <w:r w:rsidRPr="00A12FED">
              <w:rPr>
                <w:spacing w:val="-1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funkcie</w:t>
            </w:r>
            <w:r w:rsidRPr="00A12FED">
              <w:rPr>
                <w:spacing w:val="-16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základných</w:t>
            </w:r>
            <w:r w:rsidRPr="00A12FED">
              <w:rPr>
                <w:spacing w:val="-1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pilierov</w:t>
            </w:r>
            <w:r w:rsidRPr="00A12FED">
              <w:rPr>
                <w:spacing w:val="-16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európskej</w:t>
            </w:r>
            <w:r w:rsidRPr="00A12FED">
              <w:rPr>
                <w:spacing w:val="-1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sociálnej</w:t>
            </w:r>
            <w:r w:rsidRPr="00A12FED">
              <w:rPr>
                <w:spacing w:val="-1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politiky,</w:t>
            </w:r>
            <w:r w:rsidRPr="00A12FED">
              <w:rPr>
                <w:spacing w:val="-16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ich</w:t>
            </w:r>
            <w:r w:rsidRPr="00A12FED">
              <w:rPr>
                <w:spacing w:val="-1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fungovanie</w:t>
            </w:r>
            <w:r w:rsidRPr="00A12FED">
              <w:rPr>
                <w:spacing w:val="-16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v</w:t>
            </w:r>
            <w:r w:rsidRPr="00A12FED">
              <w:rPr>
                <w:spacing w:val="-16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praxi. Pozná systém poskytovania dávok a podpôr na Slovensku a vie sa v ňom orientovať. Pozná význam</w:t>
            </w:r>
            <w:r w:rsidRPr="00A12FED">
              <w:rPr>
                <w:spacing w:val="-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rodiny</w:t>
            </w:r>
            <w:r w:rsidRPr="00A12FED">
              <w:rPr>
                <w:spacing w:val="-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pre</w:t>
            </w:r>
            <w:r w:rsidRPr="00A12FED">
              <w:rPr>
                <w:spacing w:val="-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štát</w:t>
            </w:r>
            <w:r w:rsidRPr="00A12FED">
              <w:rPr>
                <w:spacing w:val="-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a</w:t>
            </w:r>
            <w:r w:rsidRPr="00A12FED">
              <w:rPr>
                <w:spacing w:val="-9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pozná</w:t>
            </w:r>
            <w:r w:rsidRPr="00A12FED">
              <w:rPr>
                <w:spacing w:val="-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možnosti</w:t>
            </w:r>
            <w:r w:rsidRPr="00A12FED">
              <w:rPr>
                <w:spacing w:val="-8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jej</w:t>
            </w:r>
            <w:r w:rsidRPr="00A12FED">
              <w:rPr>
                <w:spacing w:val="-8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podpory.</w:t>
            </w:r>
            <w:r w:rsidRPr="00A12FED">
              <w:rPr>
                <w:spacing w:val="-7"/>
                <w:sz w:val="24"/>
                <w:szCs w:val="24"/>
              </w:rPr>
              <w:t xml:space="preserve"> Pozná </w:t>
            </w:r>
            <w:r w:rsidRPr="00A12FED">
              <w:rPr>
                <w:sz w:val="24"/>
                <w:szCs w:val="24"/>
              </w:rPr>
              <w:t>systém</w:t>
            </w:r>
            <w:r w:rsidRPr="00A12FED">
              <w:rPr>
                <w:spacing w:val="-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fungovania zdravotnej</w:t>
            </w:r>
            <w:r w:rsidRPr="00A12FED">
              <w:rPr>
                <w:spacing w:val="-13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,</w:t>
            </w:r>
            <w:r w:rsidRPr="00A12FED">
              <w:rPr>
                <w:spacing w:val="-13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školskej</w:t>
            </w:r>
            <w:r w:rsidRPr="00A12FED">
              <w:rPr>
                <w:spacing w:val="-12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politiky</w:t>
            </w:r>
            <w:r w:rsidRPr="00A12FED">
              <w:rPr>
                <w:spacing w:val="-13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a</w:t>
            </w:r>
            <w:r w:rsidRPr="00A12FED">
              <w:rPr>
                <w:spacing w:val="-12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politiky</w:t>
            </w:r>
            <w:r w:rsidRPr="00A12FED">
              <w:rPr>
                <w:spacing w:val="-13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zamestnanosti</w:t>
            </w:r>
            <w:r w:rsidRPr="00A12FED">
              <w:rPr>
                <w:spacing w:val="-12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v</w:t>
            </w:r>
            <w:r w:rsidRPr="00A12FED">
              <w:rPr>
                <w:spacing w:val="-13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SR</w:t>
            </w:r>
            <w:r w:rsidRPr="00A12FED">
              <w:rPr>
                <w:spacing w:val="-12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i</w:t>
            </w:r>
            <w:r w:rsidRPr="00A12FED">
              <w:rPr>
                <w:spacing w:val="-13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pôsobenie</w:t>
            </w:r>
            <w:r w:rsidRPr="00A12FED">
              <w:rPr>
                <w:spacing w:val="-13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verejných</w:t>
            </w:r>
            <w:r w:rsidRPr="00A12FED">
              <w:rPr>
                <w:spacing w:val="-12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inštitúcii</w:t>
            </w:r>
            <w:r w:rsidRPr="00A12FED">
              <w:rPr>
                <w:spacing w:val="-13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v</w:t>
            </w:r>
            <w:r w:rsidRPr="00A12FED">
              <w:rPr>
                <w:spacing w:val="-12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danej oblasti. Pozná základné dokumenty EÚ v sociálnej</w:t>
            </w:r>
            <w:r w:rsidRPr="00A12FED">
              <w:rPr>
                <w:spacing w:val="-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oblasti.</w:t>
            </w:r>
          </w:p>
          <w:p w14:paraId="0B6C8D4D" w14:textId="77777777" w:rsidR="008F6A85" w:rsidRPr="00A12FED" w:rsidRDefault="008F6A85" w:rsidP="00A12FED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>Zručnosti:</w:t>
            </w:r>
            <w:r w:rsidRPr="00A12FED">
              <w:rPr>
                <w:sz w:val="24"/>
                <w:szCs w:val="24"/>
              </w:rPr>
              <w:t xml:space="preserve"> vie aplikovať vybrané nástroje sociálnej politiky, systém poskytovania dávok a podpôr na Slovensku, orientuje sa v systéme</w:t>
            </w:r>
            <w:r w:rsidRPr="00A12FED">
              <w:rPr>
                <w:spacing w:val="-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fungovania zdravotnej</w:t>
            </w:r>
            <w:r w:rsidRPr="00A12FED">
              <w:rPr>
                <w:spacing w:val="-13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,</w:t>
            </w:r>
            <w:r w:rsidRPr="00A12FED">
              <w:rPr>
                <w:spacing w:val="-13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školskej</w:t>
            </w:r>
            <w:r w:rsidRPr="00A12FED">
              <w:rPr>
                <w:spacing w:val="-12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politiky</w:t>
            </w:r>
            <w:r w:rsidRPr="00A12FED">
              <w:rPr>
                <w:spacing w:val="-13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a</w:t>
            </w:r>
            <w:r w:rsidRPr="00A12FED">
              <w:rPr>
                <w:spacing w:val="-12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politiky</w:t>
            </w:r>
            <w:r w:rsidRPr="00A12FED">
              <w:rPr>
                <w:spacing w:val="-13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zamestnanosti</w:t>
            </w:r>
            <w:r w:rsidRPr="00A12FED">
              <w:rPr>
                <w:spacing w:val="-12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v</w:t>
            </w:r>
            <w:r w:rsidRPr="00A12FED">
              <w:rPr>
                <w:spacing w:val="-13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SR</w:t>
            </w:r>
            <w:r w:rsidRPr="00A12FED">
              <w:rPr>
                <w:spacing w:val="-12"/>
                <w:sz w:val="24"/>
                <w:szCs w:val="24"/>
              </w:rPr>
              <w:t xml:space="preserve"> v</w:t>
            </w:r>
            <w:r w:rsidRPr="00A12FED">
              <w:rPr>
                <w:spacing w:val="-13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pôsobení</w:t>
            </w:r>
            <w:r w:rsidRPr="00A12FED">
              <w:rPr>
                <w:spacing w:val="-13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verejných</w:t>
            </w:r>
            <w:r w:rsidRPr="00A12FED">
              <w:rPr>
                <w:spacing w:val="-12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 xml:space="preserve">inštitúcii. </w:t>
            </w:r>
          </w:p>
          <w:p w14:paraId="2B60C325" w14:textId="5B29B6FD" w:rsidR="00C068FE" w:rsidRPr="00A12FED" w:rsidRDefault="008F6A85" w:rsidP="00A12FED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 xml:space="preserve">Kompetentnosti: </w:t>
            </w:r>
            <w:r w:rsidR="006143F0" w:rsidRPr="00A12FED">
              <w:rPr>
                <w:bCs/>
                <w:sz w:val="24"/>
                <w:szCs w:val="24"/>
              </w:rPr>
              <w:t>má schopnosť kritického myslenia, schopnosti analytického a logického myslenia</w:t>
            </w:r>
          </w:p>
        </w:tc>
      </w:tr>
      <w:tr w:rsidR="002A4DD7" w:rsidRPr="00A12FED" w14:paraId="5F1873E2" w14:textId="77777777" w:rsidTr="002A4DD7">
        <w:trPr>
          <w:trHeight w:val="2111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69BB0C7A" w14:textId="77777777" w:rsidR="002A4DD7" w:rsidRPr="00A12FED" w:rsidRDefault="002A4DD7" w:rsidP="002A4DD7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>Stručná osnova predmetu:</w:t>
            </w:r>
          </w:p>
          <w:p w14:paraId="47DAA4AC" w14:textId="77777777" w:rsidR="002A4DD7" w:rsidRPr="00A12FED" w:rsidRDefault="002A4DD7" w:rsidP="002A4DD7">
            <w:pPr>
              <w:pStyle w:val="TableParagraph"/>
              <w:tabs>
                <w:tab w:val="left" w:pos="380"/>
              </w:tabs>
              <w:spacing w:before="12" w:line="249" w:lineRule="auto"/>
              <w:ind w:left="118" w:right="93"/>
              <w:jc w:val="both"/>
              <w:rPr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1. Charakteristika systému sociálnej pomoci na Slovensku. Reforma pilieru sociálnej pomoci a sociálnych dávok. Hmotná a sociálna núdza. Systém dávok a príspevkov.</w:t>
            </w:r>
          </w:p>
          <w:p w14:paraId="29EC3A18" w14:textId="77777777" w:rsidR="002A4DD7" w:rsidRPr="00A12FED" w:rsidRDefault="002A4DD7" w:rsidP="002A4DD7">
            <w:pPr>
              <w:pStyle w:val="TableParagraph"/>
              <w:tabs>
                <w:tab w:val="left" w:pos="380"/>
              </w:tabs>
              <w:spacing w:before="12" w:line="249" w:lineRule="auto"/>
              <w:ind w:left="118" w:right="93"/>
              <w:jc w:val="both"/>
              <w:rPr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2. Chudoba, jej príčiny a riešenie. Pôsobenie štátnych a samosprávnych orgánov v danej</w:t>
            </w:r>
            <w:r w:rsidRPr="00A12FED">
              <w:rPr>
                <w:spacing w:val="-9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oblasti.</w:t>
            </w:r>
          </w:p>
          <w:p w14:paraId="667D7BDD" w14:textId="77777777" w:rsidR="002A4DD7" w:rsidRPr="00A12FED" w:rsidRDefault="002A4DD7" w:rsidP="002A4DD7">
            <w:pPr>
              <w:pStyle w:val="TableParagraph"/>
              <w:tabs>
                <w:tab w:val="left" w:pos="425"/>
              </w:tabs>
              <w:spacing w:before="3" w:line="249" w:lineRule="auto"/>
              <w:ind w:left="118" w:right="92"/>
              <w:jc w:val="both"/>
              <w:rPr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3. – 4. Systém sociálneho poistenia v Slovenskej republike. Dôchodkové, nemocenské, úrazové, garančné a poistenie v nezamestnanosti. Pôsobenie verejných orgánov v danej</w:t>
            </w:r>
            <w:r w:rsidRPr="00A12FED">
              <w:rPr>
                <w:spacing w:val="-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oblasti.</w:t>
            </w:r>
          </w:p>
          <w:p w14:paraId="7705C29F" w14:textId="77777777" w:rsidR="002A4DD7" w:rsidRPr="00A12FED" w:rsidRDefault="002A4DD7" w:rsidP="002A4DD7">
            <w:pPr>
              <w:pStyle w:val="TableParagraph"/>
              <w:tabs>
                <w:tab w:val="left" w:pos="392"/>
              </w:tabs>
              <w:spacing w:before="2" w:line="249" w:lineRule="auto"/>
              <w:ind w:left="118" w:right="95"/>
              <w:jc w:val="both"/>
              <w:rPr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5. – 6. Rodinná politika. Pojem rodina, rodinná politika. Obsah, ciele a základné princípy rodinnej politiky</w:t>
            </w:r>
            <w:r w:rsidRPr="00A12FED">
              <w:rPr>
                <w:spacing w:val="-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na</w:t>
            </w:r>
            <w:r w:rsidRPr="00A12FED">
              <w:rPr>
                <w:spacing w:val="-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Slovensku.</w:t>
            </w:r>
            <w:r w:rsidRPr="00A12FED">
              <w:rPr>
                <w:spacing w:val="-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Modely</w:t>
            </w:r>
            <w:r w:rsidRPr="00A12FED">
              <w:rPr>
                <w:spacing w:val="-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a</w:t>
            </w:r>
            <w:r w:rsidRPr="00A12FED">
              <w:rPr>
                <w:spacing w:val="-8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oblasti</w:t>
            </w:r>
            <w:r w:rsidRPr="00A12FED">
              <w:rPr>
                <w:spacing w:val="-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rodinnej</w:t>
            </w:r>
            <w:r w:rsidRPr="00A12FED">
              <w:rPr>
                <w:spacing w:val="-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politiky.</w:t>
            </w:r>
            <w:r w:rsidRPr="00A12FED">
              <w:rPr>
                <w:spacing w:val="-7"/>
                <w:sz w:val="24"/>
                <w:szCs w:val="24"/>
              </w:rPr>
              <w:t xml:space="preserve"> </w:t>
            </w:r>
          </w:p>
          <w:p w14:paraId="330838D6" w14:textId="77777777" w:rsidR="002A4DD7" w:rsidRPr="00A12FED" w:rsidRDefault="002A4DD7" w:rsidP="002A4DD7">
            <w:pPr>
              <w:pStyle w:val="TableParagraph"/>
              <w:tabs>
                <w:tab w:val="left" w:pos="392"/>
              </w:tabs>
              <w:spacing w:before="2" w:line="249" w:lineRule="auto"/>
              <w:ind w:left="118" w:right="95"/>
              <w:jc w:val="both"/>
              <w:rPr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7. Legislatívna</w:t>
            </w:r>
            <w:r w:rsidRPr="00A12FED">
              <w:rPr>
                <w:spacing w:val="-8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úprava</w:t>
            </w:r>
            <w:r w:rsidRPr="00A12FED">
              <w:rPr>
                <w:spacing w:val="-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rodinných</w:t>
            </w:r>
            <w:r w:rsidRPr="00A12FED">
              <w:rPr>
                <w:spacing w:val="-7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 xml:space="preserve">vzťahov, podpora rodinného príjmu, služby pre </w:t>
            </w:r>
            <w:r w:rsidRPr="00A12FED">
              <w:rPr>
                <w:spacing w:val="-3"/>
                <w:sz w:val="24"/>
                <w:szCs w:val="24"/>
              </w:rPr>
              <w:t xml:space="preserve">rodiny. </w:t>
            </w:r>
            <w:r w:rsidRPr="00A12FED">
              <w:rPr>
                <w:sz w:val="24"/>
                <w:szCs w:val="24"/>
              </w:rPr>
              <w:t>Pôsobnosť orgánov štátnej správy a samosprávy v danej oblasti.</w:t>
            </w:r>
          </w:p>
          <w:p w14:paraId="5D7932F2" w14:textId="77777777" w:rsidR="002A4DD7" w:rsidRPr="00A12FED" w:rsidRDefault="002A4DD7" w:rsidP="002A4DD7">
            <w:pPr>
              <w:pStyle w:val="TableParagraph"/>
              <w:tabs>
                <w:tab w:val="left" w:pos="372"/>
              </w:tabs>
              <w:spacing w:before="4" w:line="249" w:lineRule="auto"/>
              <w:ind w:left="118" w:right="92"/>
              <w:jc w:val="both"/>
              <w:rPr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8. Vzdelávacia politika. Vzdelávacia politika, jej obsah, ciele a princípy. Spojitosť vzdelávacej a sociálnej politiky. Systém a sústava škôl na Slovensku a ich prepojenosť na trh práce. Dostupnosť vzdelávania. Systém vysokého</w:t>
            </w:r>
            <w:r w:rsidRPr="00A12FED">
              <w:rPr>
                <w:spacing w:val="-2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školstva.</w:t>
            </w:r>
          </w:p>
          <w:p w14:paraId="0DA45984" w14:textId="77777777" w:rsidR="002A4DD7" w:rsidRPr="00A12FED" w:rsidRDefault="002A4DD7" w:rsidP="002A4DD7">
            <w:pPr>
              <w:pStyle w:val="TableParagraph"/>
              <w:tabs>
                <w:tab w:val="left" w:pos="421"/>
              </w:tabs>
              <w:spacing w:before="3" w:line="249" w:lineRule="auto"/>
              <w:ind w:left="118" w:right="95"/>
              <w:jc w:val="both"/>
              <w:rPr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lastRenderedPageBreak/>
              <w:t xml:space="preserve">9. – 10. Politika zamestnanosti a  nezamestnanosť.  Pojem  nezamestnaný,  rizikové  </w:t>
            </w:r>
            <w:r w:rsidRPr="00A12FED">
              <w:rPr>
                <w:spacing w:val="-3"/>
                <w:sz w:val="24"/>
                <w:szCs w:val="24"/>
              </w:rPr>
              <w:t xml:space="preserve">skupiny,  </w:t>
            </w:r>
            <w:r w:rsidRPr="00A12FED">
              <w:rPr>
                <w:sz w:val="24"/>
                <w:szCs w:val="24"/>
              </w:rPr>
              <w:t xml:space="preserve">príčiny a dôsledky nezamestnanosti. Aktívna a pasívna politika zamestnanosti. Pôsobnosť </w:t>
            </w:r>
            <w:r w:rsidRPr="00A12FED">
              <w:rPr>
                <w:spacing w:val="-6"/>
                <w:sz w:val="24"/>
                <w:szCs w:val="24"/>
              </w:rPr>
              <w:t xml:space="preserve">ÚPSVaR </w:t>
            </w:r>
            <w:r w:rsidRPr="00A12FED">
              <w:rPr>
                <w:sz w:val="24"/>
                <w:szCs w:val="24"/>
              </w:rPr>
              <w:t>a Ministerstva a Ústredia</w:t>
            </w:r>
            <w:r w:rsidRPr="00A12FED">
              <w:rPr>
                <w:spacing w:val="-4"/>
                <w:sz w:val="24"/>
                <w:szCs w:val="24"/>
              </w:rPr>
              <w:t xml:space="preserve"> </w:t>
            </w:r>
            <w:r w:rsidRPr="00A12FED">
              <w:rPr>
                <w:spacing w:val="-6"/>
                <w:sz w:val="24"/>
                <w:szCs w:val="24"/>
              </w:rPr>
              <w:t>PSVaR.</w:t>
            </w:r>
          </w:p>
          <w:p w14:paraId="6CED132C" w14:textId="77777777" w:rsidR="002A4DD7" w:rsidRDefault="002A4DD7" w:rsidP="00A12FED">
            <w:pPr>
              <w:pStyle w:val="TableParagraph"/>
              <w:spacing w:before="32"/>
              <w:jc w:val="both"/>
              <w:rPr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 xml:space="preserve">11. Zdravotná politika. Základné </w:t>
            </w:r>
            <w:r w:rsidRPr="00A12FED">
              <w:rPr>
                <w:spacing w:val="-3"/>
                <w:sz w:val="24"/>
                <w:szCs w:val="24"/>
              </w:rPr>
              <w:t xml:space="preserve">pojmy, </w:t>
            </w:r>
            <w:r w:rsidRPr="00A12FED">
              <w:rPr>
                <w:sz w:val="24"/>
                <w:szCs w:val="24"/>
              </w:rPr>
              <w:t xml:space="preserve">ciele, </w:t>
            </w:r>
            <w:r w:rsidRPr="00A12FED">
              <w:rPr>
                <w:spacing w:val="-3"/>
                <w:sz w:val="24"/>
                <w:szCs w:val="24"/>
              </w:rPr>
              <w:t xml:space="preserve">subjekty, </w:t>
            </w:r>
            <w:r w:rsidRPr="00A12FED">
              <w:rPr>
                <w:sz w:val="24"/>
                <w:szCs w:val="24"/>
              </w:rPr>
              <w:t>objekty zdravotnej politiky.</w:t>
            </w:r>
            <w:r w:rsidRPr="00A12FED">
              <w:rPr>
                <w:spacing w:val="-18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Systémy</w:t>
            </w:r>
          </w:p>
          <w:p w14:paraId="5E05639D" w14:textId="77777777" w:rsidR="002A4DD7" w:rsidRPr="00A12FED" w:rsidRDefault="002A4DD7" w:rsidP="002A4DD7">
            <w:pPr>
              <w:pStyle w:val="TableParagraph"/>
              <w:spacing w:before="0" w:line="249" w:lineRule="exact"/>
              <w:ind w:left="121"/>
              <w:jc w:val="both"/>
              <w:rPr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riadenia zdravotného systému a jeho financovanie. Systém ochrany obyvateľstva pred sociálnymi</w:t>
            </w:r>
          </w:p>
          <w:p w14:paraId="0FCB55C8" w14:textId="77777777" w:rsidR="002A4DD7" w:rsidRPr="00A12FED" w:rsidRDefault="002A4DD7" w:rsidP="002A4DD7">
            <w:pPr>
              <w:pStyle w:val="TableParagraph"/>
              <w:spacing w:before="12"/>
              <w:ind w:left="121"/>
              <w:jc w:val="both"/>
              <w:rPr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dôsledkami v čase choroby, úrazu.</w:t>
            </w:r>
          </w:p>
          <w:p w14:paraId="06A681AC" w14:textId="77777777" w:rsidR="002A4DD7" w:rsidRPr="00A12FED" w:rsidRDefault="002A4DD7" w:rsidP="002A4DD7">
            <w:pPr>
              <w:pStyle w:val="TableParagraph"/>
              <w:tabs>
                <w:tab w:val="left" w:pos="375"/>
              </w:tabs>
              <w:spacing w:before="12" w:line="249" w:lineRule="auto"/>
              <w:ind w:right="96"/>
              <w:jc w:val="both"/>
              <w:rPr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12. Sociálna politika Európskej únie. Genéza vzniku EÚ, inštitúcie a cieľ sociálnej politiky EÚ. Najvýznamnejšie dokumenty EÚ v sociálnej</w:t>
            </w:r>
            <w:r w:rsidRPr="00A12FED">
              <w:rPr>
                <w:spacing w:val="-5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oblasti.</w:t>
            </w:r>
          </w:p>
          <w:p w14:paraId="70288F90" w14:textId="3CC956D0" w:rsidR="002A4DD7" w:rsidRPr="00A12FED" w:rsidRDefault="002A4DD7" w:rsidP="002A4DD7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A12FED">
              <w:rPr>
                <w:spacing w:val="-5"/>
                <w:sz w:val="24"/>
                <w:szCs w:val="24"/>
              </w:rPr>
              <w:t xml:space="preserve">13. Verejná </w:t>
            </w:r>
            <w:r w:rsidRPr="00A12FED">
              <w:rPr>
                <w:sz w:val="24"/>
                <w:szCs w:val="24"/>
              </w:rPr>
              <w:t>správa. Úloha a kompetencie orgánov štátnej správy a samosprávy pôsobiacich v sociálnej oblasti. Konanie v</w:t>
            </w:r>
            <w:r w:rsidRPr="00A12FED">
              <w:rPr>
                <w:spacing w:val="-3"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správe.</w:t>
            </w:r>
          </w:p>
        </w:tc>
      </w:tr>
      <w:tr w:rsidR="002A4DD7" w:rsidRPr="00A12FED" w14:paraId="74E84661" w14:textId="77777777" w:rsidTr="002A4DD7">
        <w:trPr>
          <w:trHeight w:val="2111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0DE0EAA2" w14:textId="77777777" w:rsidR="002A4DD7" w:rsidRPr="00A12FED" w:rsidRDefault="002A4DD7" w:rsidP="002A4DD7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0895F1D7" w14:textId="77777777" w:rsidR="002A4DD7" w:rsidRPr="00A12FED" w:rsidRDefault="002A4DD7" w:rsidP="002A4DD7">
            <w:pPr>
              <w:pStyle w:val="TableParagraph"/>
              <w:spacing w:line="247" w:lineRule="auto"/>
              <w:ind w:right="112"/>
              <w:jc w:val="both"/>
              <w:rPr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BUDAYOVÁ, Z. Family Problems of Today. Dublin (Írsko) : International scientific board of catholic researchers and teachers in Ireland, 2020. 104 s. ISBN 978-1-9162020-6-1.</w:t>
            </w:r>
          </w:p>
          <w:p w14:paraId="7B6B864A" w14:textId="77777777" w:rsidR="002A4DD7" w:rsidRPr="00A12FED" w:rsidRDefault="002A4DD7" w:rsidP="002A4DD7">
            <w:pPr>
              <w:pStyle w:val="TableParagraph"/>
              <w:spacing w:line="249" w:lineRule="auto"/>
              <w:ind w:right="112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A12FED">
              <w:rPr>
                <w:sz w:val="24"/>
                <w:szCs w:val="24"/>
              </w:rPr>
              <w:t xml:space="preserve">BUDAYOVÁ, Z. </w:t>
            </w:r>
            <w:r w:rsidRPr="00A12FED">
              <w:rPr>
                <w:rStyle w:val="Siln"/>
                <w:b w:val="0"/>
                <w:bCs w:val="0"/>
                <w:sz w:val="24"/>
                <w:szCs w:val="24"/>
              </w:rPr>
              <w:t>Social exclusion of the Roma ethnic group in the interests of social work.</w:t>
            </w:r>
            <w:r w:rsidRPr="00A12FED">
              <w:rPr>
                <w:color w:val="333333"/>
                <w:sz w:val="24"/>
                <w:szCs w:val="24"/>
                <w:shd w:val="clear" w:color="auto" w:fill="FFFFFF"/>
              </w:rPr>
              <w:t xml:space="preserve"> Varšava (Poľsko) : FUNDACJA ART przeciw przemocy, 2017. 107 s. ISBN 978-83-949225-0-4</w:t>
            </w:r>
          </w:p>
          <w:p w14:paraId="670BC622" w14:textId="77777777" w:rsidR="002A4DD7" w:rsidRPr="00A12FED" w:rsidRDefault="002A4DD7" w:rsidP="002A4DD7">
            <w:pPr>
              <w:pStyle w:val="TableParagraph"/>
              <w:spacing w:before="33"/>
              <w:ind w:right="112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A12FED">
              <w:rPr>
                <w:bCs/>
                <w:sz w:val="24"/>
                <w:szCs w:val="24"/>
              </w:rPr>
              <w:t>BUDAYOVÁ, Z.</w:t>
            </w:r>
            <w:r w:rsidRPr="00A12FED">
              <w:rPr>
                <w:b/>
                <w:sz w:val="24"/>
                <w:szCs w:val="24"/>
              </w:rPr>
              <w:t xml:space="preserve"> </w:t>
            </w:r>
            <w:r w:rsidRPr="00A12FED">
              <w:rPr>
                <w:b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A12FED">
              <w:rPr>
                <w:rStyle w:val="Siln"/>
                <w:b w:val="0"/>
                <w:sz w:val="24"/>
                <w:szCs w:val="24"/>
              </w:rPr>
              <w:t>Social Exclusion and Relations Between the Roma Ethnic Group and the Majority Society</w:t>
            </w:r>
            <w:r w:rsidRPr="00A12FED">
              <w:rPr>
                <w:b/>
                <w:color w:val="333333"/>
                <w:sz w:val="24"/>
                <w:szCs w:val="24"/>
                <w:shd w:val="clear" w:color="auto" w:fill="FFFFFF"/>
              </w:rPr>
              <w:t xml:space="preserve">. </w:t>
            </w:r>
            <w:r w:rsidRPr="00A12FED">
              <w:rPr>
                <w:bCs/>
                <w:color w:val="333333"/>
                <w:sz w:val="24"/>
                <w:szCs w:val="24"/>
                <w:shd w:val="clear" w:color="auto" w:fill="FFFFFF"/>
              </w:rPr>
              <w:t>In:</w:t>
            </w:r>
            <w:r w:rsidRPr="00A12FED">
              <w:rPr>
                <w:color w:val="333333"/>
                <w:sz w:val="24"/>
                <w:szCs w:val="24"/>
                <w:shd w:val="clear" w:color="auto" w:fill="FFFFFF"/>
              </w:rPr>
              <w:t> Revue Internationale des Sciences humaines et naturelles [textový dokument (print)] . Zürich (Švajčiarsko) : Internationale Stiftung Schulung, Kunst, Ausbildung. ISSN 2235-2007. č. 3 (2020), s. 75-86</w:t>
            </w:r>
          </w:p>
          <w:p w14:paraId="49BCECEE" w14:textId="77777777" w:rsidR="002A4DD7" w:rsidRPr="00A12FED" w:rsidRDefault="002A4DD7" w:rsidP="002A4DD7">
            <w:pPr>
              <w:pStyle w:val="TableParagraph"/>
              <w:spacing w:before="33"/>
              <w:ind w:right="112"/>
              <w:jc w:val="both"/>
              <w:rPr>
                <w:b/>
                <w:sz w:val="24"/>
                <w:szCs w:val="24"/>
              </w:rPr>
            </w:pPr>
            <w:r w:rsidRPr="00A12FED">
              <w:rPr>
                <w:bCs/>
                <w:sz w:val="24"/>
                <w:szCs w:val="24"/>
              </w:rPr>
              <w:t>BUDAYOVÁ, Z.</w:t>
            </w:r>
            <w:r w:rsidRPr="00A12FED">
              <w:rPr>
                <w:b/>
                <w:sz w:val="24"/>
                <w:szCs w:val="24"/>
              </w:rPr>
              <w:t xml:space="preserve"> </w:t>
            </w:r>
            <w:r w:rsidRPr="00A12FED">
              <w:rPr>
                <w:rStyle w:val="Siln"/>
                <w:b w:val="0"/>
                <w:bCs w:val="0"/>
                <w:sz w:val="24"/>
                <w:szCs w:val="24"/>
              </w:rPr>
              <w:t>Financing of social services in the non profit sector</w:t>
            </w:r>
            <w:r w:rsidRPr="00A12FED">
              <w:rPr>
                <w:color w:val="333333"/>
                <w:sz w:val="24"/>
                <w:szCs w:val="24"/>
                <w:shd w:val="clear" w:color="auto" w:fill="FFFFFF"/>
              </w:rPr>
              <w:t>. In: Contemporary economic discourse. Interdisciplinary dimensions and practices.: Interdisciplinary dimensions and practices. Mainz (Nemecko) : Logophon Verlag, 2020. ISBN 978-3-936172-58-4, s. 15-20</w:t>
            </w:r>
          </w:p>
          <w:p w14:paraId="6FDA337C" w14:textId="77777777" w:rsidR="002A4DD7" w:rsidRPr="00A12FED" w:rsidRDefault="002A4DD7" w:rsidP="002A4DD7">
            <w:pPr>
              <w:pStyle w:val="TableParagraph"/>
              <w:spacing w:before="12" w:line="249" w:lineRule="auto"/>
              <w:ind w:right="112"/>
              <w:jc w:val="both"/>
              <w:rPr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POTŮČEK, M. Sociální politika. Praha : Slon, 1995. 142 s. ISBN 808585001X. KREBS, V. a kol.: Sociální politika. Praha : Aspi, 2007. 503 s. ISBN 9788073572761.</w:t>
            </w:r>
          </w:p>
          <w:p w14:paraId="20F611C3" w14:textId="77777777" w:rsidR="002A4DD7" w:rsidRPr="00A12FED" w:rsidRDefault="002A4DD7" w:rsidP="002A4DD7">
            <w:pPr>
              <w:pStyle w:val="TableParagraph"/>
              <w:spacing w:before="2" w:line="249" w:lineRule="auto"/>
              <w:ind w:right="644"/>
              <w:jc w:val="both"/>
              <w:rPr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STANEK, V. Sociálna politika. Bratislava : Sprint dva, 2008. 375 s. ISBN 9788089393022. TOMEŠ, I. Obory sociální politiky. Praha : Portál, 2011. 366 s. ISBN 9788073678685.</w:t>
            </w:r>
          </w:p>
          <w:p w14:paraId="1B14271B" w14:textId="77777777" w:rsidR="002A4DD7" w:rsidRPr="00A12FED" w:rsidRDefault="002A4DD7" w:rsidP="002A4DD7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TOMEŠ, I. Sociální politika, teorie a medzinárodní skušenost. Praha: Socioklub, 1996. 213 s. ISBN 8090226000.</w:t>
            </w:r>
          </w:p>
          <w:p w14:paraId="5EB58626" w14:textId="6F2CF24D" w:rsidR="002A4DD7" w:rsidRPr="00A12FED" w:rsidRDefault="002A4DD7" w:rsidP="002A4DD7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Aktuálne zákony.</w:t>
            </w:r>
          </w:p>
        </w:tc>
      </w:tr>
      <w:tr w:rsidR="002A4DD7" w:rsidRPr="00A12FED" w14:paraId="002A3C99" w14:textId="77777777" w:rsidTr="002A4DD7">
        <w:trPr>
          <w:trHeight w:val="647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74D30726" w14:textId="77777777" w:rsidR="002A4DD7" w:rsidRPr="00A12FED" w:rsidRDefault="002A4DD7" w:rsidP="002A4DD7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19F5A792" w14:textId="5EC62FAB" w:rsidR="002A4DD7" w:rsidRPr="00A12FED" w:rsidRDefault="002A4DD7" w:rsidP="002A4DD7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slovenský jazyk, cudzie jazyky</w:t>
            </w:r>
          </w:p>
        </w:tc>
      </w:tr>
      <w:tr w:rsidR="002A4DD7" w:rsidRPr="00A12FED" w14:paraId="61CB6FA8" w14:textId="77777777" w:rsidTr="002A4DD7">
        <w:trPr>
          <w:trHeight w:val="387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52A6BDC7" w14:textId="741F9E7E" w:rsidR="002A4DD7" w:rsidRPr="00A12FED" w:rsidRDefault="002A4DD7" w:rsidP="002A4DD7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>Poznámky:</w:t>
            </w:r>
          </w:p>
        </w:tc>
      </w:tr>
      <w:tr w:rsidR="002A4DD7" w:rsidRPr="00A12FED" w14:paraId="75CAD0C5" w14:textId="77777777" w:rsidTr="002A4DD7">
        <w:trPr>
          <w:trHeight w:val="387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00B80ACC" w14:textId="77777777" w:rsidR="002A4DD7" w:rsidRPr="00A12FED" w:rsidRDefault="002A4DD7" w:rsidP="002A4DD7">
            <w:pPr>
              <w:pStyle w:val="TableParagraph"/>
              <w:spacing w:before="28"/>
              <w:ind w:left="67"/>
              <w:jc w:val="both"/>
              <w:rPr>
                <w:b/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>Hodnotenie predmetov</w:t>
            </w:r>
          </w:p>
          <w:p w14:paraId="1EBDE36F" w14:textId="2F82DB4C" w:rsidR="002A4DD7" w:rsidRPr="00A12FED" w:rsidRDefault="002A4DD7" w:rsidP="002A4DD7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Celkový počet hodnotených študentov: 1063</w:t>
            </w:r>
          </w:p>
        </w:tc>
      </w:tr>
      <w:tr w:rsidR="002A4DD7" w:rsidRPr="00A12FED" w14:paraId="6803056B" w14:textId="18C8985D" w:rsidTr="002A4DD7">
        <w:trPr>
          <w:trHeight w:val="387"/>
        </w:trPr>
        <w:tc>
          <w:tcPr>
            <w:tcW w:w="1500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1575EC9D" w14:textId="54E78D76" w:rsidR="002A4DD7" w:rsidRPr="00A12FED" w:rsidRDefault="002A4DD7" w:rsidP="002A4DD7">
            <w:pPr>
              <w:pStyle w:val="TableParagraph"/>
              <w:spacing w:before="28"/>
              <w:ind w:left="67"/>
              <w:jc w:val="center"/>
              <w:rPr>
                <w:b/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A</w:t>
            </w:r>
          </w:p>
        </w:tc>
        <w:tc>
          <w:tcPr>
            <w:tcW w:w="1755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0AD606DB" w14:textId="522ACC32" w:rsidR="002A4DD7" w:rsidRPr="00A12FED" w:rsidRDefault="002A4DD7" w:rsidP="002A4DD7">
            <w:pPr>
              <w:pStyle w:val="TableParagraph"/>
              <w:spacing w:before="28"/>
              <w:ind w:left="67"/>
              <w:jc w:val="center"/>
              <w:rPr>
                <w:b/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B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6EC22F24" w14:textId="4EE87C52" w:rsidR="002A4DD7" w:rsidRPr="00A12FED" w:rsidRDefault="002A4DD7" w:rsidP="002A4DD7">
            <w:pPr>
              <w:pStyle w:val="TableParagraph"/>
              <w:spacing w:before="28"/>
              <w:ind w:left="67"/>
              <w:jc w:val="center"/>
              <w:rPr>
                <w:b/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C</w:t>
            </w:r>
          </w:p>
        </w:tc>
        <w:tc>
          <w:tcPr>
            <w:tcW w:w="175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76615D49" w14:textId="47F62DAE" w:rsidR="002A4DD7" w:rsidRPr="00A12FED" w:rsidRDefault="002A4DD7" w:rsidP="002A4DD7">
            <w:pPr>
              <w:pStyle w:val="TableParagraph"/>
              <w:spacing w:before="28"/>
              <w:ind w:left="67"/>
              <w:jc w:val="center"/>
              <w:rPr>
                <w:b/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D</w:t>
            </w:r>
          </w:p>
        </w:tc>
        <w:tc>
          <w:tcPr>
            <w:tcW w:w="157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6C5CA59D" w14:textId="4A434886" w:rsidR="002A4DD7" w:rsidRPr="00A12FED" w:rsidRDefault="002A4DD7" w:rsidP="002A4DD7">
            <w:pPr>
              <w:pStyle w:val="TableParagraph"/>
              <w:spacing w:before="28"/>
              <w:ind w:left="67"/>
              <w:jc w:val="center"/>
              <w:rPr>
                <w:b/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E</w:t>
            </w:r>
          </w:p>
        </w:tc>
        <w:tc>
          <w:tcPr>
            <w:tcW w:w="134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 w14:paraId="6289D3FE" w14:textId="12420E21" w:rsidR="002A4DD7" w:rsidRPr="00A12FED" w:rsidRDefault="002A4DD7" w:rsidP="002A4DD7">
            <w:pPr>
              <w:pStyle w:val="TableParagraph"/>
              <w:spacing w:before="28"/>
              <w:ind w:left="67"/>
              <w:jc w:val="center"/>
              <w:rPr>
                <w:b/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FX</w:t>
            </w:r>
          </w:p>
        </w:tc>
      </w:tr>
      <w:tr w:rsidR="002A4DD7" w:rsidRPr="00A12FED" w14:paraId="6E492D5B" w14:textId="6FCBCC1B" w:rsidTr="002A4DD7">
        <w:trPr>
          <w:trHeight w:val="387"/>
        </w:trPr>
        <w:tc>
          <w:tcPr>
            <w:tcW w:w="1500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5D38FCDA" w14:textId="0B24CC7A" w:rsidR="002A4DD7" w:rsidRPr="00A12FED" w:rsidRDefault="002A4DD7" w:rsidP="002A4DD7">
            <w:pPr>
              <w:pStyle w:val="TableParagraph"/>
              <w:spacing w:before="28"/>
              <w:ind w:left="67"/>
              <w:jc w:val="center"/>
              <w:rPr>
                <w:b/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39.04</w:t>
            </w:r>
          </w:p>
        </w:tc>
        <w:tc>
          <w:tcPr>
            <w:tcW w:w="1755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16625C82" w14:textId="1DC5188C" w:rsidR="002A4DD7" w:rsidRPr="00A12FED" w:rsidRDefault="002A4DD7" w:rsidP="002A4DD7">
            <w:pPr>
              <w:pStyle w:val="TableParagraph"/>
              <w:spacing w:before="28"/>
              <w:ind w:left="67"/>
              <w:jc w:val="center"/>
              <w:rPr>
                <w:b/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25.78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0D42ED89" w14:textId="2D4B7D7D" w:rsidR="002A4DD7" w:rsidRPr="00A12FED" w:rsidRDefault="002A4DD7" w:rsidP="002A4DD7">
            <w:pPr>
              <w:pStyle w:val="TableParagraph"/>
              <w:spacing w:before="28"/>
              <w:ind w:left="67"/>
              <w:jc w:val="center"/>
              <w:rPr>
                <w:b/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18.06</w:t>
            </w:r>
          </w:p>
        </w:tc>
        <w:tc>
          <w:tcPr>
            <w:tcW w:w="175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0F6DA7A5" w14:textId="4419FAF4" w:rsidR="002A4DD7" w:rsidRPr="00A12FED" w:rsidRDefault="002A4DD7" w:rsidP="002A4DD7">
            <w:pPr>
              <w:pStyle w:val="TableParagraph"/>
              <w:spacing w:before="28"/>
              <w:ind w:left="67"/>
              <w:jc w:val="center"/>
              <w:rPr>
                <w:b/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10.35</w:t>
            </w:r>
          </w:p>
        </w:tc>
        <w:tc>
          <w:tcPr>
            <w:tcW w:w="157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43E46309" w14:textId="33BD349D" w:rsidR="002A4DD7" w:rsidRPr="00A12FED" w:rsidRDefault="002A4DD7" w:rsidP="002A4DD7">
            <w:pPr>
              <w:pStyle w:val="TableParagraph"/>
              <w:spacing w:before="28"/>
              <w:ind w:left="67"/>
              <w:jc w:val="center"/>
              <w:rPr>
                <w:b/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4.33</w:t>
            </w:r>
          </w:p>
        </w:tc>
        <w:tc>
          <w:tcPr>
            <w:tcW w:w="134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 w14:paraId="786212CE" w14:textId="7C9839EE" w:rsidR="002A4DD7" w:rsidRPr="00A12FED" w:rsidRDefault="002A4DD7" w:rsidP="002A4DD7">
            <w:pPr>
              <w:pStyle w:val="TableParagraph"/>
              <w:spacing w:before="28"/>
              <w:ind w:left="67"/>
              <w:jc w:val="center"/>
              <w:rPr>
                <w:b/>
                <w:sz w:val="24"/>
                <w:szCs w:val="24"/>
              </w:rPr>
            </w:pPr>
            <w:r w:rsidRPr="00A12FED">
              <w:rPr>
                <w:sz w:val="24"/>
                <w:szCs w:val="24"/>
              </w:rPr>
              <w:t>2.45</w:t>
            </w:r>
          </w:p>
        </w:tc>
      </w:tr>
      <w:tr w:rsidR="002A4DD7" w:rsidRPr="00A12FED" w14:paraId="2B1E0ABA" w14:textId="77777777" w:rsidTr="002A4DD7">
        <w:trPr>
          <w:trHeight w:val="387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458C1C14" w14:textId="64E97423" w:rsidR="002A4DD7" w:rsidRPr="00A12FED" w:rsidRDefault="002A4DD7" w:rsidP="002A4DD7">
            <w:pPr>
              <w:pStyle w:val="TableParagraph"/>
              <w:spacing w:before="28"/>
              <w:ind w:left="67"/>
              <w:jc w:val="both"/>
              <w:rPr>
                <w:b/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 xml:space="preserve">Vyučujúci: </w:t>
            </w:r>
            <w:r w:rsidRPr="00A12FED">
              <w:rPr>
                <w:bCs/>
                <w:sz w:val="24"/>
                <w:szCs w:val="24"/>
              </w:rPr>
              <w:t>doc. PhDr. Janka Bursová, PhD.,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12FED">
              <w:rPr>
                <w:sz w:val="24"/>
                <w:szCs w:val="24"/>
              </w:rPr>
              <w:t>Mgr. Veronika Bandžuchová, PhD.</w:t>
            </w:r>
          </w:p>
        </w:tc>
      </w:tr>
      <w:tr w:rsidR="002A4DD7" w:rsidRPr="00A12FED" w14:paraId="667FB7CE" w14:textId="77777777" w:rsidTr="002A4DD7">
        <w:trPr>
          <w:trHeight w:val="387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0974F24A" w14:textId="6B193E46" w:rsidR="002A4DD7" w:rsidRPr="00A12FED" w:rsidRDefault="002A4DD7" w:rsidP="002A4DD7">
            <w:pPr>
              <w:pStyle w:val="TableParagraph"/>
              <w:spacing w:before="28"/>
              <w:ind w:left="67"/>
              <w:jc w:val="both"/>
              <w:rPr>
                <w:b/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 xml:space="preserve">Dátum poslednej zmeny: </w:t>
            </w:r>
            <w:r w:rsidRPr="00A12FED">
              <w:rPr>
                <w:sz w:val="24"/>
                <w:szCs w:val="24"/>
              </w:rPr>
              <w:t>10.03.2022</w:t>
            </w:r>
          </w:p>
        </w:tc>
      </w:tr>
      <w:tr w:rsidR="002A4DD7" w:rsidRPr="00A12FED" w14:paraId="5620CC76" w14:textId="77777777" w:rsidTr="002A4DD7">
        <w:trPr>
          <w:trHeight w:val="387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5A645514" w14:textId="42770249" w:rsidR="002A4DD7" w:rsidRPr="00A12FED" w:rsidRDefault="002A4DD7" w:rsidP="002A4DD7">
            <w:pPr>
              <w:pStyle w:val="TableParagraph"/>
              <w:spacing w:before="28"/>
              <w:ind w:left="67"/>
              <w:jc w:val="both"/>
              <w:rPr>
                <w:b/>
                <w:sz w:val="24"/>
                <w:szCs w:val="24"/>
              </w:rPr>
            </w:pPr>
            <w:r w:rsidRPr="00A12FED">
              <w:rPr>
                <w:b/>
                <w:sz w:val="24"/>
                <w:szCs w:val="24"/>
              </w:rPr>
              <w:t xml:space="preserve">Schválil: </w:t>
            </w:r>
            <w:r w:rsidRPr="00A12FED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45B3A313" w14:textId="77777777" w:rsidR="00C068FE" w:rsidRPr="00A12FED" w:rsidRDefault="00C068FE" w:rsidP="00A12FED">
      <w:pPr>
        <w:jc w:val="both"/>
        <w:rPr>
          <w:sz w:val="24"/>
          <w:szCs w:val="24"/>
        </w:rPr>
        <w:sectPr w:rsidR="00C068FE" w:rsidRPr="00A12FED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p w14:paraId="461A5626" w14:textId="77777777" w:rsidR="00A53CCE" w:rsidRPr="00A12FED" w:rsidRDefault="00A53CCE" w:rsidP="00A12FED">
      <w:pPr>
        <w:jc w:val="both"/>
        <w:rPr>
          <w:sz w:val="24"/>
          <w:szCs w:val="24"/>
        </w:rPr>
      </w:pPr>
    </w:p>
    <w:sectPr w:rsidR="00A53CCE" w:rsidRPr="00A12FED">
      <w:pgSz w:w="11910" w:h="16840"/>
      <w:pgMar w:top="112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29D61" w14:textId="77777777" w:rsidR="002054AE" w:rsidRDefault="002054AE">
      <w:r>
        <w:separator/>
      </w:r>
    </w:p>
  </w:endnote>
  <w:endnote w:type="continuationSeparator" w:id="0">
    <w:p w14:paraId="1BC108BF" w14:textId="77777777" w:rsidR="002054AE" w:rsidRDefault="00205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61797" w14:textId="77777777" w:rsidR="00C068FE" w:rsidRDefault="00AC44F4">
    <w:pPr>
      <w:pStyle w:val="Zkladntext"/>
      <w:spacing w:line="14" w:lineRule="auto"/>
      <w:rPr>
        <w:b w:val="0"/>
        <w:sz w:val="20"/>
      </w:rPr>
    </w:pPr>
    <w:r>
      <w:pict w14:anchorId="7E11376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style="mso-next-textbox:#_x0000_s2049" inset="0,0,0,0">
            <w:txbxContent>
              <w:p w14:paraId="7587878A" w14:textId="40ACE52F" w:rsidR="00C068FE" w:rsidRDefault="00A53CCE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C44F4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CEB8B" w14:textId="77777777" w:rsidR="002054AE" w:rsidRDefault="002054AE">
      <w:r>
        <w:separator/>
      </w:r>
    </w:p>
  </w:footnote>
  <w:footnote w:type="continuationSeparator" w:id="0">
    <w:p w14:paraId="62419142" w14:textId="77777777" w:rsidR="002054AE" w:rsidRDefault="00205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098CF" w14:textId="77777777" w:rsidR="00CD24FD" w:rsidRDefault="00CD24FD" w:rsidP="00CD24FD">
    <w:pPr>
      <w:pStyle w:val="Hlavika"/>
      <w:jc w:val="right"/>
    </w:pPr>
    <w:r>
      <w:t>FO-082/0</w:t>
    </w:r>
  </w:p>
  <w:p w14:paraId="5D6555C5" w14:textId="77777777" w:rsidR="00CD24FD" w:rsidRDefault="00CD24F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3386E"/>
    <w:multiLevelType w:val="hybridMultilevel"/>
    <w:tmpl w:val="04F22D22"/>
    <w:lvl w:ilvl="0" w:tplc="C6DA0FC4">
      <w:start w:val="1"/>
      <w:numFmt w:val="decimal"/>
      <w:lvlText w:val="%1."/>
      <w:lvlJc w:val="left"/>
      <w:pPr>
        <w:ind w:left="118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2354BA96">
      <w:numFmt w:val="bullet"/>
      <w:lvlText w:val="•"/>
      <w:lvlJc w:val="left"/>
      <w:pPr>
        <w:ind w:left="1069" w:hanging="262"/>
      </w:pPr>
      <w:rPr>
        <w:rFonts w:hint="default"/>
        <w:lang w:val="sk-SK" w:eastAsia="en-US" w:bidi="ar-SA"/>
      </w:rPr>
    </w:lvl>
    <w:lvl w:ilvl="2" w:tplc="8848CD4C">
      <w:numFmt w:val="bullet"/>
      <w:lvlText w:val="•"/>
      <w:lvlJc w:val="left"/>
      <w:pPr>
        <w:ind w:left="2019" w:hanging="262"/>
      </w:pPr>
      <w:rPr>
        <w:rFonts w:hint="default"/>
        <w:lang w:val="sk-SK" w:eastAsia="en-US" w:bidi="ar-SA"/>
      </w:rPr>
    </w:lvl>
    <w:lvl w:ilvl="3" w:tplc="5C7C730C">
      <w:numFmt w:val="bullet"/>
      <w:lvlText w:val="•"/>
      <w:lvlJc w:val="left"/>
      <w:pPr>
        <w:ind w:left="2969" w:hanging="262"/>
      </w:pPr>
      <w:rPr>
        <w:rFonts w:hint="default"/>
        <w:lang w:val="sk-SK" w:eastAsia="en-US" w:bidi="ar-SA"/>
      </w:rPr>
    </w:lvl>
    <w:lvl w:ilvl="4" w:tplc="11B24226">
      <w:numFmt w:val="bullet"/>
      <w:lvlText w:val="•"/>
      <w:lvlJc w:val="left"/>
      <w:pPr>
        <w:ind w:left="3919" w:hanging="262"/>
      </w:pPr>
      <w:rPr>
        <w:rFonts w:hint="default"/>
        <w:lang w:val="sk-SK" w:eastAsia="en-US" w:bidi="ar-SA"/>
      </w:rPr>
    </w:lvl>
    <w:lvl w:ilvl="5" w:tplc="29005066">
      <w:numFmt w:val="bullet"/>
      <w:lvlText w:val="•"/>
      <w:lvlJc w:val="left"/>
      <w:pPr>
        <w:ind w:left="4869" w:hanging="262"/>
      </w:pPr>
      <w:rPr>
        <w:rFonts w:hint="default"/>
        <w:lang w:val="sk-SK" w:eastAsia="en-US" w:bidi="ar-SA"/>
      </w:rPr>
    </w:lvl>
    <w:lvl w:ilvl="6" w:tplc="BDAE4E76">
      <w:numFmt w:val="bullet"/>
      <w:lvlText w:val="•"/>
      <w:lvlJc w:val="left"/>
      <w:pPr>
        <w:ind w:left="5818" w:hanging="262"/>
      </w:pPr>
      <w:rPr>
        <w:rFonts w:hint="default"/>
        <w:lang w:val="sk-SK" w:eastAsia="en-US" w:bidi="ar-SA"/>
      </w:rPr>
    </w:lvl>
    <w:lvl w:ilvl="7" w:tplc="7390F8F8">
      <w:numFmt w:val="bullet"/>
      <w:lvlText w:val="•"/>
      <w:lvlJc w:val="left"/>
      <w:pPr>
        <w:ind w:left="6768" w:hanging="262"/>
      </w:pPr>
      <w:rPr>
        <w:rFonts w:hint="default"/>
        <w:lang w:val="sk-SK" w:eastAsia="en-US" w:bidi="ar-SA"/>
      </w:rPr>
    </w:lvl>
    <w:lvl w:ilvl="8" w:tplc="E56013EC">
      <w:numFmt w:val="bullet"/>
      <w:lvlText w:val="•"/>
      <w:lvlJc w:val="left"/>
      <w:pPr>
        <w:ind w:left="7718" w:hanging="262"/>
      </w:pPr>
      <w:rPr>
        <w:rFonts w:hint="default"/>
        <w:lang w:val="sk-SK" w:eastAsia="en-US" w:bidi="ar-SA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BF36C4"/>
    <w:multiLevelType w:val="hybridMultilevel"/>
    <w:tmpl w:val="622CA34E"/>
    <w:lvl w:ilvl="0" w:tplc="573C1D02">
      <w:start w:val="7"/>
      <w:numFmt w:val="decimal"/>
      <w:lvlText w:val="%1."/>
      <w:lvlJc w:val="left"/>
      <w:pPr>
        <w:ind w:left="121" w:hanging="25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242C33B6">
      <w:numFmt w:val="bullet"/>
      <w:lvlText w:val="•"/>
      <w:lvlJc w:val="left"/>
      <w:pPr>
        <w:ind w:left="1069" w:hanging="254"/>
      </w:pPr>
      <w:rPr>
        <w:rFonts w:hint="default"/>
        <w:lang w:val="sk-SK" w:eastAsia="en-US" w:bidi="ar-SA"/>
      </w:rPr>
    </w:lvl>
    <w:lvl w:ilvl="2" w:tplc="38F0A838">
      <w:numFmt w:val="bullet"/>
      <w:lvlText w:val="•"/>
      <w:lvlJc w:val="left"/>
      <w:pPr>
        <w:ind w:left="2019" w:hanging="254"/>
      </w:pPr>
      <w:rPr>
        <w:rFonts w:hint="default"/>
        <w:lang w:val="sk-SK" w:eastAsia="en-US" w:bidi="ar-SA"/>
      </w:rPr>
    </w:lvl>
    <w:lvl w:ilvl="3" w:tplc="DC9CEC94">
      <w:numFmt w:val="bullet"/>
      <w:lvlText w:val="•"/>
      <w:lvlJc w:val="left"/>
      <w:pPr>
        <w:ind w:left="2969" w:hanging="254"/>
      </w:pPr>
      <w:rPr>
        <w:rFonts w:hint="default"/>
        <w:lang w:val="sk-SK" w:eastAsia="en-US" w:bidi="ar-SA"/>
      </w:rPr>
    </w:lvl>
    <w:lvl w:ilvl="4" w:tplc="ABAEB9E2">
      <w:numFmt w:val="bullet"/>
      <w:lvlText w:val="•"/>
      <w:lvlJc w:val="left"/>
      <w:pPr>
        <w:ind w:left="3919" w:hanging="254"/>
      </w:pPr>
      <w:rPr>
        <w:rFonts w:hint="default"/>
        <w:lang w:val="sk-SK" w:eastAsia="en-US" w:bidi="ar-SA"/>
      </w:rPr>
    </w:lvl>
    <w:lvl w:ilvl="5" w:tplc="C52A8224">
      <w:numFmt w:val="bullet"/>
      <w:lvlText w:val="•"/>
      <w:lvlJc w:val="left"/>
      <w:pPr>
        <w:ind w:left="4869" w:hanging="254"/>
      </w:pPr>
      <w:rPr>
        <w:rFonts w:hint="default"/>
        <w:lang w:val="sk-SK" w:eastAsia="en-US" w:bidi="ar-SA"/>
      </w:rPr>
    </w:lvl>
    <w:lvl w:ilvl="6" w:tplc="29FE5E4E">
      <w:numFmt w:val="bullet"/>
      <w:lvlText w:val="•"/>
      <w:lvlJc w:val="left"/>
      <w:pPr>
        <w:ind w:left="5818" w:hanging="254"/>
      </w:pPr>
      <w:rPr>
        <w:rFonts w:hint="default"/>
        <w:lang w:val="sk-SK" w:eastAsia="en-US" w:bidi="ar-SA"/>
      </w:rPr>
    </w:lvl>
    <w:lvl w:ilvl="7" w:tplc="677ED380">
      <w:numFmt w:val="bullet"/>
      <w:lvlText w:val="•"/>
      <w:lvlJc w:val="left"/>
      <w:pPr>
        <w:ind w:left="6768" w:hanging="254"/>
      </w:pPr>
      <w:rPr>
        <w:rFonts w:hint="default"/>
        <w:lang w:val="sk-SK" w:eastAsia="en-US" w:bidi="ar-SA"/>
      </w:rPr>
    </w:lvl>
    <w:lvl w:ilvl="8" w:tplc="678E4A50">
      <w:numFmt w:val="bullet"/>
      <w:lvlText w:val="•"/>
      <w:lvlJc w:val="left"/>
      <w:pPr>
        <w:ind w:left="7718" w:hanging="254"/>
      </w:pPr>
      <w:rPr>
        <w:rFonts w:hint="default"/>
        <w:lang w:val="sk-SK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068FE"/>
    <w:rsid w:val="002054AE"/>
    <w:rsid w:val="002A4DD7"/>
    <w:rsid w:val="00411E06"/>
    <w:rsid w:val="00425C47"/>
    <w:rsid w:val="00570CB8"/>
    <w:rsid w:val="005814FA"/>
    <w:rsid w:val="006143F0"/>
    <w:rsid w:val="006A1461"/>
    <w:rsid w:val="008F6A85"/>
    <w:rsid w:val="00A12FED"/>
    <w:rsid w:val="00A53CCE"/>
    <w:rsid w:val="00AC44F4"/>
    <w:rsid w:val="00AC7052"/>
    <w:rsid w:val="00BA7054"/>
    <w:rsid w:val="00C068FE"/>
    <w:rsid w:val="00CD24FD"/>
    <w:rsid w:val="00F1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B42A9E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30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CD24F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D24FD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CD24F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D24FD"/>
    <w:rPr>
      <w:rFonts w:ascii="Times New Roman" w:eastAsia="Times New Roman" w:hAnsi="Times New Roman" w:cs="Times New Roman"/>
      <w:lang w:val="sk-SK"/>
    </w:rPr>
  </w:style>
  <w:style w:type="character" w:styleId="Siln">
    <w:name w:val="Strong"/>
    <w:basedOn w:val="Predvolenpsmoodseku"/>
    <w:uiPriority w:val="22"/>
    <w:qFormat/>
    <w:rsid w:val="00BA70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10</cp:revision>
  <dcterms:created xsi:type="dcterms:W3CDTF">2022-03-03T08:56:00Z</dcterms:created>
  <dcterms:modified xsi:type="dcterms:W3CDTF">2022-05-04T08:50:00Z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