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2" w:rsidRPr="00CC7812" w:rsidRDefault="00CC7812" w:rsidP="00EE4A05">
      <w:pPr>
        <w:tabs>
          <w:tab w:val="left" w:pos="426"/>
        </w:tabs>
        <w:rPr>
          <w:b/>
          <w:sz w:val="20"/>
          <w:szCs w:val="20"/>
        </w:rPr>
      </w:pPr>
      <w:r w:rsidRPr="00CC7812">
        <w:rPr>
          <w:b/>
          <w:sz w:val="20"/>
          <w:szCs w:val="20"/>
        </w:rPr>
        <w:t>Príloha 3B</w:t>
      </w:r>
      <w:bookmarkStart w:id="0" w:name="_GoBack"/>
      <w:bookmarkEnd w:id="0"/>
    </w:p>
    <w:p w:rsidR="00CC7812" w:rsidRDefault="00CC7812" w:rsidP="00EE4A05">
      <w:pPr>
        <w:tabs>
          <w:tab w:val="left" w:pos="426"/>
        </w:tabs>
        <w:rPr>
          <w:b/>
          <w:sz w:val="20"/>
          <w:szCs w:val="20"/>
          <w:u w:val="single"/>
        </w:rPr>
      </w:pPr>
    </w:p>
    <w:p w:rsidR="00EE4A05" w:rsidRPr="00EE4A05" w:rsidRDefault="00EE4A05" w:rsidP="00EE4A05">
      <w:pPr>
        <w:tabs>
          <w:tab w:val="left" w:pos="426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</w:t>
      </w:r>
      <w:r w:rsidR="00474DED" w:rsidRPr="00EE4A05">
        <w:rPr>
          <w:b/>
          <w:sz w:val="20"/>
          <w:szCs w:val="20"/>
          <w:u w:val="single"/>
        </w:rPr>
        <w:t>Všeobecné údaje</w:t>
      </w:r>
    </w:p>
    <w:p w:rsidR="00AA79DD" w:rsidRPr="00754127" w:rsidRDefault="00AA79DD" w:rsidP="00AA79DD">
      <w:pPr>
        <w:rPr>
          <w:sz w:val="20"/>
          <w:szCs w:val="20"/>
        </w:rPr>
      </w:pPr>
    </w:p>
    <w:p w:rsidR="00EE4A05" w:rsidRDefault="00EE4A05" w:rsidP="00AA79DD">
      <w:pPr>
        <w:rPr>
          <w:b/>
          <w:sz w:val="20"/>
          <w:szCs w:val="20"/>
        </w:rPr>
      </w:pPr>
    </w:p>
    <w:p w:rsidR="00AA79DD" w:rsidRPr="00754127" w:rsidRDefault="00474DED" w:rsidP="00AA79DD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</w:t>
      </w:r>
      <w:r w:rsidR="00AA79DD" w:rsidRPr="00754127">
        <w:rPr>
          <w:b/>
          <w:sz w:val="20"/>
          <w:szCs w:val="20"/>
        </w:rPr>
        <w:t>.</w:t>
      </w:r>
      <w:r w:rsidR="00AA79DD" w:rsidRPr="00754127">
        <w:rPr>
          <w:sz w:val="20"/>
          <w:szCs w:val="20"/>
        </w:rPr>
        <w:t xml:space="preserve"> </w:t>
      </w:r>
      <w:r w:rsidR="00186EF8" w:rsidRPr="00754127">
        <w:rPr>
          <w:b/>
          <w:sz w:val="20"/>
          <w:szCs w:val="20"/>
        </w:rPr>
        <w:t>Vykonané priesku</w:t>
      </w:r>
      <w:r>
        <w:rPr>
          <w:b/>
          <w:sz w:val="20"/>
          <w:szCs w:val="20"/>
        </w:rPr>
        <w:t>my a rozbory</w:t>
      </w:r>
    </w:p>
    <w:p w:rsidR="00F36D81" w:rsidRPr="00474DED" w:rsidRDefault="00AA79DD" w:rsidP="00B51ECD">
      <w:pPr>
        <w:rPr>
          <w:b/>
          <w:sz w:val="20"/>
          <w:szCs w:val="20"/>
        </w:rPr>
      </w:pPr>
      <w:r w:rsidRPr="00754127">
        <w:rPr>
          <w:b/>
          <w:sz w:val="20"/>
          <w:szCs w:val="20"/>
        </w:rPr>
        <w:t xml:space="preserve">      </w:t>
      </w:r>
      <w:r w:rsidR="00186EF8" w:rsidRPr="00754127">
        <w:rPr>
          <w:b/>
          <w:sz w:val="20"/>
          <w:szCs w:val="20"/>
        </w:rPr>
        <w:t xml:space="preserve"> </w:t>
      </w:r>
    </w:p>
    <w:p w:rsidR="00EE4A05" w:rsidRDefault="006F0EB2" w:rsidP="006F0EB2">
      <w:pPr>
        <w:jc w:val="both"/>
        <w:rPr>
          <w:sz w:val="20"/>
          <w:szCs w:val="20"/>
        </w:rPr>
      </w:pPr>
      <w:r>
        <w:rPr>
          <w:sz w:val="20"/>
          <w:szCs w:val="20"/>
        </w:rPr>
        <w:t>Prekrytie vchod</w:t>
      </w:r>
      <w:r w:rsidRPr="00734F3F">
        <w:rPr>
          <w:sz w:val="20"/>
          <w:szCs w:val="20"/>
        </w:rPr>
        <w:t xml:space="preserve">ov je </w:t>
      </w:r>
      <w:r>
        <w:rPr>
          <w:sz w:val="20"/>
          <w:szCs w:val="20"/>
        </w:rPr>
        <w:t xml:space="preserve"> navrhnuté</w:t>
      </w:r>
      <w:r w:rsidR="007611A2">
        <w:rPr>
          <w:sz w:val="20"/>
          <w:szCs w:val="20"/>
        </w:rPr>
        <w:t xml:space="preserve"> pri</w:t>
      </w:r>
      <w:r w:rsidRPr="00734F3F">
        <w:rPr>
          <w:sz w:val="20"/>
          <w:szCs w:val="20"/>
        </w:rPr>
        <w:t> objekte ŠD v  katastrálnom území Ružomberok na pozemku parcelné číslo C KN</w:t>
      </w:r>
      <w:r>
        <w:rPr>
          <w:sz w:val="20"/>
          <w:szCs w:val="20"/>
        </w:rPr>
        <w:t xml:space="preserve"> 7301</w:t>
      </w:r>
      <w:r w:rsidRPr="00734F3F">
        <w:rPr>
          <w:sz w:val="20"/>
          <w:szCs w:val="20"/>
        </w:rPr>
        <w:t xml:space="preserve"> (druh zastavan</w:t>
      </w:r>
      <w:r>
        <w:rPr>
          <w:sz w:val="20"/>
          <w:szCs w:val="20"/>
        </w:rPr>
        <w:t>á plocha a nádvorie, výmera 967</w:t>
      </w:r>
      <w:r w:rsidRPr="00734F3F">
        <w:rPr>
          <w:sz w:val="20"/>
          <w:szCs w:val="20"/>
        </w:rPr>
        <w:t xml:space="preserve"> m</w:t>
      </w:r>
      <w:r w:rsidRPr="00734F3F">
        <w:rPr>
          <w:sz w:val="20"/>
          <w:szCs w:val="20"/>
          <w:vertAlign w:val="superscript"/>
        </w:rPr>
        <w:t>2</w:t>
      </w:r>
      <w:r w:rsidRPr="00734F3F">
        <w:rPr>
          <w:sz w:val="20"/>
          <w:szCs w:val="20"/>
        </w:rPr>
        <w:t xml:space="preserve">), pričom </w:t>
      </w:r>
      <w:r>
        <w:rPr>
          <w:sz w:val="20"/>
          <w:szCs w:val="20"/>
        </w:rPr>
        <w:t xml:space="preserve">časť z </w:t>
      </w:r>
      <w:r w:rsidRPr="00734F3F">
        <w:rPr>
          <w:sz w:val="20"/>
          <w:szCs w:val="20"/>
        </w:rPr>
        <w:t>po</w:t>
      </w:r>
      <w:r>
        <w:rPr>
          <w:sz w:val="20"/>
          <w:szCs w:val="20"/>
        </w:rPr>
        <w:t>zemku parcelné číslo C KN 7302</w:t>
      </w:r>
      <w:r w:rsidRPr="00734F3F">
        <w:rPr>
          <w:sz w:val="20"/>
          <w:szCs w:val="20"/>
        </w:rPr>
        <w:t xml:space="preserve"> (druh zastava</w:t>
      </w:r>
      <w:r>
        <w:rPr>
          <w:sz w:val="20"/>
          <w:szCs w:val="20"/>
        </w:rPr>
        <w:t>ná plocha a nádvorie, výmera 5193</w:t>
      </w:r>
      <w:r w:rsidRPr="00734F3F">
        <w:rPr>
          <w:sz w:val="20"/>
          <w:szCs w:val="20"/>
        </w:rPr>
        <w:t xml:space="preserve"> m</w:t>
      </w:r>
      <w:r w:rsidRPr="00734F3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slúži na ukotvenie nosnej konštrukcie prekrytia vchodov do betónovej podlahy. </w:t>
      </w:r>
      <w:r w:rsidRPr="00754127">
        <w:rPr>
          <w:sz w:val="20"/>
          <w:szCs w:val="20"/>
        </w:rPr>
        <w:t xml:space="preserve">Pre vypracovanie projektovej dokumentácie pre ohlásenie drobnej stavby bola vykonaná obhliadka jestvujúceho </w:t>
      </w:r>
      <w:r>
        <w:rPr>
          <w:sz w:val="20"/>
          <w:szCs w:val="20"/>
        </w:rPr>
        <w:t xml:space="preserve">ŠD Blok „C“ vrátane zamerania </w:t>
      </w:r>
      <w:r w:rsidRPr="00754127">
        <w:rPr>
          <w:sz w:val="20"/>
          <w:szCs w:val="20"/>
        </w:rPr>
        <w:t xml:space="preserve">skutkového </w:t>
      </w:r>
      <w:r>
        <w:rPr>
          <w:sz w:val="20"/>
          <w:szCs w:val="20"/>
        </w:rPr>
        <w:t xml:space="preserve">stavu dvoch vchodov, ktoré </w:t>
      </w:r>
      <w:r w:rsidR="007611A2">
        <w:rPr>
          <w:sz w:val="20"/>
          <w:szCs w:val="20"/>
        </w:rPr>
        <w:t>budú riešené v rámci prekrytia.</w:t>
      </w:r>
      <w:r>
        <w:rPr>
          <w:sz w:val="20"/>
          <w:szCs w:val="20"/>
        </w:rPr>
        <w:t xml:space="preserve"> </w:t>
      </w:r>
      <w:r w:rsidRPr="00754127">
        <w:rPr>
          <w:sz w:val="20"/>
          <w:szCs w:val="20"/>
        </w:rPr>
        <w:t>Žiadne ďalšie  prieskumy a rozbory neboli vykonané.</w:t>
      </w:r>
    </w:p>
    <w:p w:rsidR="00186EF8" w:rsidRPr="00754127" w:rsidRDefault="006F0EB2" w:rsidP="006F0EB2">
      <w:pPr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  </w:t>
      </w:r>
    </w:p>
    <w:p w:rsidR="00F30CFB" w:rsidRPr="00754127" w:rsidRDefault="00F30CFB" w:rsidP="00F30CFB">
      <w:pPr>
        <w:rPr>
          <w:sz w:val="20"/>
          <w:szCs w:val="20"/>
        </w:rPr>
      </w:pPr>
    </w:p>
    <w:p w:rsidR="00186EF8" w:rsidRPr="00754127" w:rsidRDefault="00474DED" w:rsidP="00F30CF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</w:t>
      </w:r>
      <w:r w:rsidR="00F30CFB" w:rsidRPr="00754127">
        <w:rPr>
          <w:b/>
          <w:sz w:val="20"/>
          <w:szCs w:val="20"/>
        </w:rPr>
        <w:t>.</w:t>
      </w:r>
      <w:r w:rsidR="00F30CFB" w:rsidRPr="00754127">
        <w:rPr>
          <w:sz w:val="20"/>
          <w:szCs w:val="20"/>
        </w:rPr>
        <w:t xml:space="preserve"> </w:t>
      </w:r>
      <w:r w:rsidR="00186EF8" w:rsidRPr="00754127">
        <w:rPr>
          <w:b/>
          <w:sz w:val="20"/>
          <w:szCs w:val="20"/>
        </w:rPr>
        <w:t>Použité mapové a geodetické podklady</w:t>
      </w:r>
    </w:p>
    <w:p w:rsidR="00AD1402" w:rsidRPr="00754127" w:rsidRDefault="00AD1402" w:rsidP="00B51ECD">
      <w:pPr>
        <w:ind w:left="709"/>
        <w:rPr>
          <w:b/>
          <w:sz w:val="20"/>
          <w:szCs w:val="20"/>
        </w:rPr>
      </w:pPr>
    </w:p>
    <w:p w:rsidR="00754127" w:rsidRDefault="00D54914" w:rsidP="00754127">
      <w:pPr>
        <w:jc w:val="both"/>
        <w:rPr>
          <w:sz w:val="20"/>
          <w:szCs w:val="20"/>
        </w:rPr>
      </w:pPr>
      <w:r w:rsidRPr="00754127">
        <w:rPr>
          <w:sz w:val="20"/>
          <w:szCs w:val="20"/>
        </w:rPr>
        <w:t>Pre vypracovanie projektovej dokumentácie</w:t>
      </w:r>
      <w:r w:rsidR="00474DED">
        <w:rPr>
          <w:sz w:val="20"/>
          <w:szCs w:val="20"/>
        </w:rPr>
        <w:t xml:space="preserve"> pre ohlásenie drobnej stavby </w:t>
      </w:r>
      <w:r w:rsidRPr="00754127">
        <w:rPr>
          <w:sz w:val="20"/>
          <w:szCs w:val="20"/>
        </w:rPr>
        <w:t>bola použitá</w:t>
      </w:r>
      <w:r w:rsidR="00C65E27" w:rsidRPr="00754127">
        <w:rPr>
          <w:sz w:val="20"/>
          <w:szCs w:val="20"/>
        </w:rPr>
        <w:t xml:space="preserve"> :</w:t>
      </w:r>
    </w:p>
    <w:p w:rsidR="00EE4A05" w:rsidRDefault="00EE4A05" w:rsidP="00754127">
      <w:pPr>
        <w:jc w:val="both"/>
        <w:rPr>
          <w:sz w:val="20"/>
          <w:szCs w:val="20"/>
        </w:rPr>
      </w:pPr>
    </w:p>
    <w:p w:rsidR="00157745" w:rsidRDefault="00C65E27" w:rsidP="00F30CFB">
      <w:pPr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- </w:t>
      </w:r>
      <w:r w:rsidR="00D54914" w:rsidRPr="00754127">
        <w:rPr>
          <w:sz w:val="20"/>
          <w:szCs w:val="20"/>
        </w:rPr>
        <w:t>kópia kata</w:t>
      </w:r>
      <w:r w:rsidRPr="00754127">
        <w:rPr>
          <w:sz w:val="20"/>
          <w:szCs w:val="20"/>
        </w:rPr>
        <w:t>strálnej mapy v mierke 1:1000 - obe</w:t>
      </w:r>
      <w:r w:rsidR="00754127">
        <w:rPr>
          <w:sz w:val="20"/>
          <w:szCs w:val="20"/>
        </w:rPr>
        <w:t>c a katastrálne územie Ružomberok</w:t>
      </w:r>
      <w:r w:rsidR="00F30CFB" w:rsidRPr="00754127">
        <w:rPr>
          <w:sz w:val="20"/>
          <w:szCs w:val="20"/>
        </w:rPr>
        <w:t xml:space="preserve"> </w:t>
      </w:r>
      <w:r w:rsidR="00FC6FF9" w:rsidRPr="00754127">
        <w:rPr>
          <w:sz w:val="20"/>
          <w:szCs w:val="20"/>
        </w:rPr>
        <w:t>(vydal Okresný</w:t>
      </w:r>
      <w:r w:rsidR="00157745">
        <w:rPr>
          <w:sz w:val="20"/>
          <w:szCs w:val="20"/>
        </w:rPr>
        <w:t xml:space="preserve"> </w:t>
      </w:r>
      <w:r w:rsidR="00FC6FF9" w:rsidRPr="00754127">
        <w:rPr>
          <w:sz w:val="20"/>
          <w:szCs w:val="20"/>
        </w:rPr>
        <w:t>úrad</w:t>
      </w:r>
      <w:r w:rsidRPr="00754127">
        <w:rPr>
          <w:sz w:val="20"/>
          <w:szCs w:val="20"/>
        </w:rPr>
        <w:t xml:space="preserve"> Ružombe</w:t>
      </w:r>
      <w:r w:rsidR="00F30CFB" w:rsidRPr="00754127">
        <w:rPr>
          <w:sz w:val="20"/>
          <w:szCs w:val="20"/>
        </w:rPr>
        <w:t>rok,</w:t>
      </w:r>
    </w:p>
    <w:p w:rsidR="00F30CFB" w:rsidRPr="00754127" w:rsidRDefault="00F30CFB" w:rsidP="00F30CFB">
      <w:pPr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 </w:t>
      </w:r>
      <w:r w:rsidR="00157745">
        <w:rPr>
          <w:sz w:val="20"/>
          <w:szCs w:val="20"/>
        </w:rPr>
        <w:t xml:space="preserve"> </w:t>
      </w:r>
      <w:r w:rsidR="00754127">
        <w:rPr>
          <w:sz w:val="20"/>
          <w:szCs w:val="20"/>
        </w:rPr>
        <w:t>katastrálny odbor</w:t>
      </w:r>
      <w:r w:rsidR="00C65E27" w:rsidRPr="00754127">
        <w:rPr>
          <w:sz w:val="20"/>
          <w:szCs w:val="20"/>
        </w:rPr>
        <w:t>),</w:t>
      </w:r>
    </w:p>
    <w:p w:rsidR="00157745" w:rsidRDefault="00C65E27" w:rsidP="00F30CFB">
      <w:pPr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- </w:t>
      </w:r>
      <w:r w:rsidR="00D54914" w:rsidRPr="00754127">
        <w:rPr>
          <w:sz w:val="20"/>
          <w:szCs w:val="20"/>
        </w:rPr>
        <w:t>výpi</w:t>
      </w:r>
      <w:r w:rsidR="00754127">
        <w:rPr>
          <w:sz w:val="20"/>
          <w:szCs w:val="20"/>
        </w:rPr>
        <w:t>s z Listu vlastníctva č. 4842</w:t>
      </w:r>
      <w:r w:rsidR="00F30CFB" w:rsidRPr="00754127">
        <w:rPr>
          <w:sz w:val="20"/>
          <w:szCs w:val="20"/>
        </w:rPr>
        <w:t xml:space="preserve"> </w:t>
      </w:r>
      <w:r w:rsidRPr="00754127">
        <w:rPr>
          <w:sz w:val="20"/>
          <w:szCs w:val="20"/>
        </w:rPr>
        <w:t>– obe</w:t>
      </w:r>
      <w:r w:rsidR="00A93588" w:rsidRPr="00754127">
        <w:rPr>
          <w:sz w:val="20"/>
          <w:szCs w:val="20"/>
        </w:rPr>
        <w:t>c a kat</w:t>
      </w:r>
      <w:r w:rsidR="00F30CFB" w:rsidRPr="00754127">
        <w:rPr>
          <w:sz w:val="20"/>
          <w:szCs w:val="20"/>
        </w:rPr>
        <w:t>astrálne ú</w:t>
      </w:r>
      <w:r w:rsidR="00754127">
        <w:rPr>
          <w:sz w:val="20"/>
          <w:szCs w:val="20"/>
        </w:rPr>
        <w:t>zemie Ružomberok</w:t>
      </w:r>
      <w:r w:rsidR="00F36D81" w:rsidRPr="00754127">
        <w:rPr>
          <w:sz w:val="20"/>
          <w:szCs w:val="20"/>
        </w:rPr>
        <w:t xml:space="preserve"> </w:t>
      </w:r>
      <w:r w:rsidR="00FC6FF9" w:rsidRPr="00754127">
        <w:rPr>
          <w:sz w:val="20"/>
          <w:szCs w:val="20"/>
        </w:rPr>
        <w:t>(vydal Okresný úrad</w:t>
      </w:r>
      <w:r w:rsidR="00157745">
        <w:rPr>
          <w:sz w:val="20"/>
          <w:szCs w:val="20"/>
        </w:rPr>
        <w:t xml:space="preserve"> </w:t>
      </w:r>
      <w:r w:rsidR="00754127">
        <w:rPr>
          <w:sz w:val="20"/>
          <w:szCs w:val="20"/>
        </w:rPr>
        <w:t xml:space="preserve">Ružomberok, </w:t>
      </w:r>
    </w:p>
    <w:p w:rsidR="00D54914" w:rsidRPr="00754127" w:rsidRDefault="00157745" w:rsidP="00F30C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54127">
        <w:rPr>
          <w:sz w:val="20"/>
          <w:szCs w:val="20"/>
        </w:rPr>
        <w:t>katastrálny odbor</w:t>
      </w:r>
      <w:r w:rsidR="00C65E27" w:rsidRPr="00754127">
        <w:rPr>
          <w:sz w:val="20"/>
          <w:szCs w:val="20"/>
        </w:rPr>
        <w:t>).</w:t>
      </w:r>
    </w:p>
    <w:p w:rsidR="00AD1402" w:rsidRPr="00754127" w:rsidRDefault="00AD1402" w:rsidP="00B51ECD">
      <w:pPr>
        <w:pStyle w:val="Odsekzoznamu"/>
        <w:ind w:left="1134"/>
        <w:jc w:val="both"/>
        <w:rPr>
          <w:sz w:val="20"/>
          <w:szCs w:val="20"/>
        </w:rPr>
      </w:pPr>
    </w:p>
    <w:p w:rsidR="0049588B" w:rsidRDefault="006F0EB2" w:rsidP="00577406">
      <w:pPr>
        <w:rPr>
          <w:sz w:val="20"/>
          <w:szCs w:val="20"/>
        </w:rPr>
      </w:pPr>
      <w:r w:rsidRPr="00886824">
        <w:rPr>
          <w:sz w:val="20"/>
          <w:szCs w:val="20"/>
        </w:rPr>
        <w:t>Pevný výškový bod</w:t>
      </w:r>
      <w:r>
        <w:rPr>
          <w:sz w:val="20"/>
          <w:szCs w:val="20"/>
        </w:rPr>
        <w:t xml:space="preserve"> (PVB)</w:t>
      </w:r>
      <w:r w:rsidRPr="00886824">
        <w:rPr>
          <w:sz w:val="20"/>
          <w:szCs w:val="20"/>
        </w:rPr>
        <w:t xml:space="preserve">  bol stanovený v úrovni jestvujúcej nášľapnej vrstvy podlahy riešených vchodov s prekrytím „1“ a „2“ jestvujúceho študentského domova Blok „C“ na relatívnej kóte ± 0</w:t>
      </w:r>
      <w:r>
        <w:rPr>
          <w:sz w:val="20"/>
          <w:szCs w:val="20"/>
        </w:rPr>
        <w:t>,000.</w:t>
      </w:r>
    </w:p>
    <w:p w:rsidR="00EE4A05" w:rsidRPr="00734F3F" w:rsidRDefault="00EE4A05" w:rsidP="00577406">
      <w:pPr>
        <w:rPr>
          <w:sz w:val="20"/>
          <w:szCs w:val="20"/>
        </w:rPr>
      </w:pPr>
    </w:p>
    <w:p w:rsidR="00D54914" w:rsidRPr="00754127" w:rsidRDefault="00D54914" w:rsidP="00B51ECD">
      <w:pPr>
        <w:ind w:left="709"/>
        <w:rPr>
          <w:b/>
          <w:sz w:val="20"/>
          <w:szCs w:val="20"/>
        </w:rPr>
      </w:pPr>
    </w:p>
    <w:p w:rsidR="00D3550C" w:rsidRPr="00754127" w:rsidRDefault="00D3550C" w:rsidP="00D3550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</w:t>
      </w:r>
      <w:r w:rsidRPr="00754127">
        <w:rPr>
          <w:b/>
          <w:sz w:val="20"/>
          <w:szCs w:val="20"/>
        </w:rPr>
        <w:t>.</w:t>
      </w:r>
      <w:r w:rsidRPr="0075412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Projektová dokumentácie pre ohlásenie drobnej stavby</w:t>
      </w:r>
    </w:p>
    <w:p w:rsidR="00D3550C" w:rsidRPr="00474DED" w:rsidRDefault="00D3550C" w:rsidP="00D3550C">
      <w:pPr>
        <w:rPr>
          <w:b/>
          <w:sz w:val="20"/>
          <w:szCs w:val="20"/>
        </w:rPr>
      </w:pPr>
      <w:r w:rsidRPr="00754127">
        <w:rPr>
          <w:b/>
          <w:sz w:val="20"/>
          <w:szCs w:val="20"/>
        </w:rPr>
        <w:t xml:space="preserve">       </w:t>
      </w:r>
    </w:p>
    <w:p w:rsidR="006F0EB2" w:rsidRPr="00734F3F" w:rsidRDefault="006F0EB2" w:rsidP="006F0EB2">
      <w:pPr>
        <w:jc w:val="both"/>
        <w:rPr>
          <w:sz w:val="20"/>
          <w:szCs w:val="20"/>
        </w:rPr>
      </w:pPr>
      <w:r w:rsidRPr="00734F3F">
        <w:rPr>
          <w:sz w:val="20"/>
          <w:szCs w:val="20"/>
        </w:rPr>
        <w:t xml:space="preserve">Projekt pre ohlásenie drobnej stavby je vypracovaný na základe investičného zámeru  a investorom odsúhlaseného návrhu, pričom k vypracovaniu projektu bola použitá kópia katastrálnej mapy v mierke 1:1000 a výpis z Listu vlastníctva č. 4842. </w:t>
      </w:r>
    </w:p>
    <w:p w:rsidR="002E3D43" w:rsidRDefault="006F0EB2" w:rsidP="006F0EB2">
      <w:pPr>
        <w:jc w:val="both"/>
        <w:rPr>
          <w:sz w:val="20"/>
          <w:szCs w:val="20"/>
        </w:rPr>
      </w:pPr>
      <w:r w:rsidRPr="00734F3F">
        <w:rPr>
          <w:sz w:val="20"/>
          <w:szCs w:val="20"/>
        </w:rPr>
        <w:t xml:space="preserve">Investičný zámer obsahoval požiadavku na </w:t>
      </w:r>
      <w:r>
        <w:rPr>
          <w:sz w:val="20"/>
          <w:szCs w:val="20"/>
        </w:rPr>
        <w:t>prekrytie (prestrešenie) dvoch vchodov na 1. nadzemnom podlaží ŠD Blok „C“ v Ružomberku, Hrabovská cesta</w:t>
      </w:r>
      <w:r w:rsidRPr="00734F3F">
        <w:rPr>
          <w:sz w:val="20"/>
          <w:szCs w:val="20"/>
        </w:rPr>
        <w:t xml:space="preserve"> súpisné</w:t>
      </w:r>
      <w:r>
        <w:rPr>
          <w:sz w:val="20"/>
          <w:szCs w:val="20"/>
        </w:rPr>
        <w:t xml:space="preserve"> č. 2218/1C</w:t>
      </w:r>
      <w:r w:rsidRPr="00734F3F">
        <w:rPr>
          <w:sz w:val="20"/>
          <w:szCs w:val="20"/>
        </w:rPr>
        <w:t xml:space="preserve">. Hlavným cieľom </w:t>
      </w:r>
      <w:r>
        <w:rPr>
          <w:sz w:val="20"/>
          <w:szCs w:val="20"/>
        </w:rPr>
        <w:t xml:space="preserve">prekrytia oboch vchodov </w:t>
      </w:r>
      <w:r w:rsidRPr="00734F3F">
        <w:rPr>
          <w:sz w:val="20"/>
          <w:szCs w:val="20"/>
        </w:rPr>
        <w:t>bola</w:t>
      </w:r>
      <w:r>
        <w:rPr>
          <w:sz w:val="20"/>
          <w:szCs w:val="20"/>
        </w:rPr>
        <w:t xml:space="preserve"> potreba vytvorenia závetria a tým aj ochrany vstupov pred nepriaznivými účinkami počasia (dážď, sneh).</w:t>
      </w:r>
    </w:p>
    <w:p w:rsidR="006F0EB2" w:rsidRDefault="006F0EB2" w:rsidP="006F0EB2">
      <w:pPr>
        <w:jc w:val="both"/>
        <w:rPr>
          <w:sz w:val="20"/>
          <w:szCs w:val="20"/>
        </w:rPr>
      </w:pPr>
      <w:r w:rsidRPr="00734F3F">
        <w:rPr>
          <w:sz w:val="20"/>
          <w:szCs w:val="20"/>
        </w:rPr>
        <w:t xml:space="preserve"> </w:t>
      </w:r>
    </w:p>
    <w:p w:rsidR="00EE4A05" w:rsidRDefault="00EE4A05" w:rsidP="006F0EB2">
      <w:pPr>
        <w:jc w:val="both"/>
        <w:rPr>
          <w:sz w:val="20"/>
          <w:szCs w:val="20"/>
        </w:rPr>
      </w:pPr>
    </w:p>
    <w:p w:rsidR="00D3550C" w:rsidRDefault="00D3550C" w:rsidP="00B51ECD">
      <w:pPr>
        <w:rPr>
          <w:sz w:val="20"/>
          <w:szCs w:val="20"/>
        </w:rPr>
      </w:pPr>
    </w:p>
    <w:p w:rsidR="00157745" w:rsidRPr="00754127" w:rsidRDefault="00157745" w:rsidP="00B51ECD">
      <w:pPr>
        <w:rPr>
          <w:sz w:val="20"/>
          <w:szCs w:val="20"/>
        </w:rPr>
      </w:pPr>
    </w:p>
    <w:p w:rsidR="00186EF8" w:rsidRDefault="00F30CFB" w:rsidP="00F30CFB">
      <w:pPr>
        <w:rPr>
          <w:b/>
          <w:sz w:val="20"/>
          <w:szCs w:val="20"/>
          <w:u w:val="single"/>
        </w:rPr>
      </w:pPr>
      <w:r w:rsidRPr="00754127">
        <w:rPr>
          <w:b/>
          <w:sz w:val="20"/>
          <w:szCs w:val="20"/>
          <w:u w:val="single"/>
        </w:rPr>
        <w:t xml:space="preserve">2. </w:t>
      </w:r>
      <w:r w:rsidR="00186EF8" w:rsidRPr="00754127">
        <w:rPr>
          <w:b/>
          <w:sz w:val="20"/>
          <w:szCs w:val="20"/>
          <w:u w:val="single"/>
        </w:rPr>
        <w:t>Základné údaje o</w:t>
      </w:r>
      <w:r w:rsidR="00EE4A05">
        <w:rPr>
          <w:b/>
          <w:sz w:val="20"/>
          <w:szCs w:val="20"/>
          <w:u w:val="single"/>
        </w:rPr>
        <w:t> </w:t>
      </w:r>
      <w:r w:rsidR="00186EF8" w:rsidRPr="00754127">
        <w:rPr>
          <w:b/>
          <w:sz w:val="20"/>
          <w:szCs w:val="20"/>
          <w:u w:val="single"/>
        </w:rPr>
        <w:t>stavbe</w:t>
      </w:r>
    </w:p>
    <w:p w:rsidR="00EE4A05" w:rsidRPr="00754127" w:rsidRDefault="00EE4A05" w:rsidP="00F30CFB">
      <w:pPr>
        <w:rPr>
          <w:b/>
          <w:sz w:val="20"/>
          <w:szCs w:val="20"/>
          <w:u w:val="single"/>
        </w:rPr>
      </w:pPr>
    </w:p>
    <w:p w:rsidR="00186EF8" w:rsidRPr="00754127" w:rsidRDefault="00186EF8" w:rsidP="00B51ECD">
      <w:pPr>
        <w:pStyle w:val="Odsekzoznamu"/>
        <w:ind w:left="720"/>
        <w:rPr>
          <w:b/>
          <w:sz w:val="20"/>
          <w:szCs w:val="20"/>
          <w:u w:val="single"/>
        </w:rPr>
      </w:pPr>
    </w:p>
    <w:p w:rsidR="00F30CFB" w:rsidRPr="00754127" w:rsidRDefault="00D3550C" w:rsidP="00F30C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r w:rsidR="00C2026D">
        <w:rPr>
          <w:b/>
          <w:sz w:val="20"/>
          <w:szCs w:val="20"/>
        </w:rPr>
        <w:t xml:space="preserve">Jestvujúci stav </w:t>
      </w:r>
    </w:p>
    <w:p w:rsidR="00F30CFB" w:rsidRPr="00754127" w:rsidRDefault="00F30CFB" w:rsidP="00F30CFB">
      <w:pPr>
        <w:rPr>
          <w:sz w:val="20"/>
          <w:szCs w:val="20"/>
        </w:rPr>
      </w:pPr>
    </w:p>
    <w:p w:rsidR="00A9662A" w:rsidRDefault="00A9662A" w:rsidP="00A9662A">
      <w:pPr>
        <w:jc w:val="both"/>
        <w:rPr>
          <w:sz w:val="20"/>
          <w:szCs w:val="20"/>
        </w:rPr>
      </w:pPr>
      <w:r w:rsidRPr="00734F3F">
        <w:rPr>
          <w:sz w:val="20"/>
          <w:szCs w:val="20"/>
        </w:rPr>
        <w:t xml:space="preserve">Urbanistické a dispozično-prevádzkové riešenie študentského domova </w:t>
      </w:r>
      <w:r>
        <w:rPr>
          <w:sz w:val="20"/>
          <w:szCs w:val="20"/>
        </w:rPr>
        <w:t>Blok „C“</w:t>
      </w:r>
      <w:r w:rsidRPr="00734F3F">
        <w:rPr>
          <w:sz w:val="20"/>
          <w:szCs w:val="20"/>
        </w:rPr>
        <w:t xml:space="preserve"> ostáva nezmenené. Hlavný vstup</w:t>
      </w:r>
      <w:r>
        <w:rPr>
          <w:sz w:val="20"/>
          <w:szCs w:val="20"/>
        </w:rPr>
        <w:t xml:space="preserve"> do objektu je situovaný na západnej strane, bočné vstupy na severnej a južnej strane. Hlavné vstupy do vchodu „1“ a „2“ sú situované na východnej strane objektu  ŠD</w:t>
      </w:r>
      <w:r w:rsidRPr="00734F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Blok „C“</w:t>
      </w:r>
      <w:r w:rsidRPr="00734F3F">
        <w:rPr>
          <w:sz w:val="20"/>
          <w:szCs w:val="20"/>
        </w:rPr>
        <w:t xml:space="preserve"> </w:t>
      </w:r>
      <w:r>
        <w:rPr>
          <w:sz w:val="20"/>
          <w:szCs w:val="20"/>
        </w:rPr>
        <w:t>(z vnútro bloku).</w:t>
      </w:r>
      <w:r w:rsidRPr="00734F3F">
        <w:rPr>
          <w:sz w:val="20"/>
          <w:szCs w:val="20"/>
        </w:rPr>
        <w:t xml:space="preserve"> Bližší popis je zrejmý z priloženej výkresovej</w:t>
      </w:r>
      <w:r>
        <w:rPr>
          <w:sz w:val="20"/>
          <w:szCs w:val="20"/>
        </w:rPr>
        <w:t xml:space="preserve"> </w:t>
      </w:r>
      <w:r w:rsidRPr="00734F3F">
        <w:rPr>
          <w:sz w:val="20"/>
          <w:szCs w:val="20"/>
        </w:rPr>
        <w:t>dokumentácie, architektonic</w:t>
      </w:r>
      <w:r>
        <w:rPr>
          <w:sz w:val="20"/>
          <w:szCs w:val="20"/>
        </w:rPr>
        <w:t>ko-stavebného riešenia, pôdorysov, pohľadov, rezu a detailov.</w:t>
      </w:r>
    </w:p>
    <w:p w:rsidR="000C7A79" w:rsidRDefault="00C00953" w:rsidP="00182430">
      <w:pPr>
        <w:jc w:val="both"/>
        <w:rPr>
          <w:sz w:val="20"/>
          <w:szCs w:val="20"/>
        </w:rPr>
      </w:pPr>
      <w:r>
        <w:rPr>
          <w:sz w:val="20"/>
          <w:szCs w:val="20"/>
        </w:rPr>
        <w:t>Pôvodný objekt pre ubytovanie zamestnancov BZVIL v Ružomberku bol postavený na prelome 50</w:t>
      </w:r>
      <w:r w:rsidR="007611A2">
        <w:rPr>
          <w:sz w:val="20"/>
          <w:szCs w:val="20"/>
        </w:rPr>
        <w:t>.</w:t>
      </w:r>
      <w:r>
        <w:rPr>
          <w:sz w:val="20"/>
          <w:szCs w:val="20"/>
        </w:rPr>
        <w:t xml:space="preserve"> – tých a</w:t>
      </w:r>
      <w:r w:rsidR="007611A2">
        <w:rPr>
          <w:sz w:val="20"/>
          <w:szCs w:val="20"/>
        </w:rPr>
        <w:t> </w:t>
      </w:r>
      <w:r>
        <w:rPr>
          <w:sz w:val="20"/>
          <w:szCs w:val="20"/>
        </w:rPr>
        <w:t>60</w:t>
      </w:r>
      <w:r w:rsidR="007611A2">
        <w:rPr>
          <w:sz w:val="20"/>
          <w:szCs w:val="20"/>
        </w:rPr>
        <w:t>.</w:t>
      </w:r>
      <w:r>
        <w:rPr>
          <w:sz w:val="20"/>
          <w:szCs w:val="20"/>
        </w:rPr>
        <w:t xml:space="preserve"> - tých rokov minulého storočia. Prvá prestavba ubytovacieho zariadenia pre študentov Katolíckej univerzity v Ružomberku vrátane jeho zateplenia bola dokončená v roku 2010. Následná nadstavba ubytovacích priestorov bola realizovaná v roku 2016. Obvodová nosná konštrukcia objektu v celkovej hrúbke 570 mm je zložená z jestvujúceho muriva hrúbky 450 mm </w:t>
      </w:r>
      <w:r w:rsidR="00893B81">
        <w:rPr>
          <w:sz w:val="20"/>
          <w:szCs w:val="20"/>
        </w:rPr>
        <w:t>a zatepľovacieho systému hrúbky 120 mm s povrchovou hladkou stierkou bielej a krémovej farby (sokel s betónovou stierkou sivej farby). Výplne otvorov (dvere a okná) sú plastové, z exteriéru farby tmavohnedej a z interiéru farby bielej. Parapetné dosky sú z exteriéru plechové hrúbky 0,7 mm farby tmavohnedej a z interiéru plastové farby bielej. Vonkajšia plocha pred objektom je betónová na relatívnej kóte + 0,335 (vchod „1“)  a + 0,365 (vchod „2“).</w:t>
      </w:r>
    </w:p>
    <w:p w:rsidR="000E632D" w:rsidRDefault="000E632D" w:rsidP="00182430">
      <w:pPr>
        <w:jc w:val="both"/>
        <w:rPr>
          <w:sz w:val="20"/>
          <w:szCs w:val="20"/>
        </w:rPr>
      </w:pPr>
      <w:r>
        <w:rPr>
          <w:sz w:val="20"/>
          <w:szCs w:val="20"/>
        </w:rPr>
        <w:t>Pred začatím výroby prekrytia (prestrešenia) vchodov je potrebné zameranie jestvujúceho stavu priamo na mieste !</w:t>
      </w:r>
    </w:p>
    <w:p w:rsidR="00EE4A05" w:rsidRDefault="00EE4A05" w:rsidP="00182430">
      <w:pPr>
        <w:jc w:val="both"/>
        <w:rPr>
          <w:sz w:val="20"/>
          <w:szCs w:val="20"/>
        </w:rPr>
      </w:pPr>
    </w:p>
    <w:p w:rsidR="00EE4A05" w:rsidRDefault="00EE4A05" w:rsidP="00182430">
      <w:pPr>
        <w:jc w:val="both"/>
        <w:rPr>
          <w:sz w:val="20"/>
          <w:szCs w:val="20"/>
        </w:rPr>
      </w:pPr>
    </w:p>
    <w:p w:rsidR="000E632D" w:rsidRDefault="000E632D" w:rsidP="00EE4A05">
      <w:pPr>
        <w:rPr>
          <w:b/>
          <w:sz w:val="20"/>
          <w:szCs w:val="20"/>
        </w:rPr>
      </w:pPr>
    </w:p>
    <w:p w:rsidR="00EE4A05" w:rsidRDefault="00C2026D" w:rsidP="00EE4A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Búracie práce </w:t>
      </w:r>
    </w:p>
    <w:p w:rsidR="00EE4A05" w:rsidRDefault="00EE4A05" w:rsidP="00EE4A05">
      <w:pPr>
        <w:rPr>
          <w:b/>
          <w:sz w:val="20"/>
          <w:szCs w:val="20"/>
        </w:rPr>
      </w:pPr>
    </w:p>
    <w:p w:rsidR="00135FC1" w:rsidRPr="00EE4A05" w:rsidRDefault="00CE1245" w:rsidP="00EE4A05">
      <w:pPr>
        <w:rPr>
          <w:b/>
          <w:sz w:val="20"/>
          <w:szCs w:val="20"/>
        </w:rPr>
      </w:pPr>
      <w:r>
        <w:rPr>
          <w:sz w:val="20"/>
          <w:szCs w:val="20"/>
        </w:rPr>
        <w:t>Búracie práce v rámci oboch vchodov</w:t>
      </w:r>
      <w:r w:rsidR="00135FC1">
        <w:rPr>
          <w:sz w:val="20"/>
          <w:szCs w:val="20"/>
        </w:rPr>
        <w:t xml:space="preserve"> „1“ a „2“ </w:t>
      </w:r>
      <w:r>
        <w:rPr>
          <w:sz w:val="20"/>
          <w:szCs w:val="20"/>
        </w:rPr>
        <w:t xml:space="preserve"> predstavujú vybúranie (demontáž) zatepľovacieho systému v ôsmych miestach kotvenia na obvodovú stenu </w:t>
      </w:r>
      <w:r w:rsidR="00135FC1">
        <w:rPr>
          <w:sz w:val="20"/>
          <w:szCs w:val="20"/>
        </w:rPr>
        <w:t>pre umiestnenie kotviacich horizontálnych platničiek rozmerov 200x80x8 mm s kotvami 2 x M12.</w:t>
      </w:r>
    </w:p>
    <w:p w:rsidR="00EE4A05" w:rsidRDefault="00EE4A05" w:rsidP="00135FC1">
      <w:pPr>
        <w:jc w:val="both"/>
        <w:rPr>
          <w:sz w:val="20"/>
          <w:szCs w:val="20"/>
        </w:rPr>
      </w:pPr>
    </w:p>
    <w:p w:rsidR="004A7578" w:rsidRPr="00AD75B5" w:rsidRDefault="004A7578" w:rsidP="004A7578">
      <w:pPr>
        <w:rPr>
          <w:b/>
          <w:sz w:val="20"/>
          <w:szCs w:val="20"/>
        </w:rPr>
      </w:pPr>
    </w:p>
    <w:p w:rsidR="00EE4A05" w:rsidRDefault="00A9662A" w:rsidP="00E56C2D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2.3. Navrhované práce</w:t>
      </w:r>
    </w:p>
    <w:p w:rsidR="00E56C2D" w:rsidRPr="00754127" w:rsidRDefault="00A9662A" w:rsidP="00E56C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E4A05" w:rsidRDefault="00A9662A" w:rsidP="007611A2">
      <w:pPr>
        <w:jc w:val="both"/>
        <w:rPr>
          <w:sz w:val="20"/>
          <w:szCs w:val="20"/>
        </w:rPr>
      </w:pPr>
      <w:r w:rsidRPr="008D357A">
        <w:rPr>
          <w:sz w:val="20"/>
          <w:szCs w:val="20"/>
        </w:rPr>
        <w:t xml:space="preserve">Konštrukčné riešenie </w:t>
      </w:r>
      <w:r>
        <w:rPr>
          <w:sz w:val="20"/>
          <w:szCs w:val="20"/>
        </w:rPr>
        <w:t xml:space="preserve">hlavnej </w:t>
      </w:r>
      <w:r w:rsidRPr="008D357A">
        <w:rPr>
          <w:sz w:val="20"/>
          <w:szCs w:val="20"/>
        </w:rPr>
        <w:t xml:space="preserve">stavby </w:t>
      </w:r>
      <w:r>
        <w:rPr>
          <w:sz w:val="20"/>
          <w:szCs w:val="20"/>
        </w:rPr>
        <w:t xml:space="preserve">ubytovacieho zariadenia Blok „C“ </w:t>
      </w:r>
      <w:r w:rsidRPr="008D357A">
        <w:rPr>
          <w:sz w:val="20"/>
          <w:szCs w:val="20"/>
        </w:rPr>
        <w:t xml:space="preserve">ostáva nezmenené. Materiálové riešenie </w:t>
      </w:r>
      <w:r>
        <w:rPr>
          <w:sz w:val="20"/>
          <w:szCs w:val="20"/>
        </w:rPr>
        <w:t>prekrytia</w:t>
      </w:r>
      <w:r w:rsidR="00EE4A05">
        <w:rPr>
          <w:sz w:val="20"/>
          <w:szCs w:val="20"/>
        </w:rPr>
        <w:t xml:space="preserve"> (prestrešenia) vchodov </w:t>
      </w:r>
      <w:r w:rsidR="00623FF2">
        <w:rPr>
          <w:sz w:val="20"/>
          <w:szCs w:val="20"/>
        </w:rPr>
        <w:t xml:space="preserve">tvoria nerezové uzatvorené profily štvorcového a obdĺžnikového </w:t>
      </w:r>
      <w:r w:rsidR="00EE4A05">
        <w:rPr>
          <w:sz w:val="20"/>
          <w:szCs w:val="20"/>
        </w:rPr>
        <w:t>prierezu s jednokomorovým polykarbonátom Lexan hrúbky 10 mm.</w:t>
      </w:r>
    </w:p>
    <w:p w:rsidR="00623FF2" w:rsidRPr="00623FF2" w:rsidRDefault="00623FF2" w:rsidP="007611A2">
      <w:pPr>
        <w:jc w:val="both"/>
        <w:rPr>
          <w:sz w:val="20"/>
          <w:szCs w:val="20"/>
        </w:rPr>
      </w:pPr>
    </w:p>
    <w:p w:rsidR="00AD75B5" w:rsidRDefault="00AD75B5" w:rsidP="007611A2">
      <w:pPr>
        <w:jc w:val="both"/>
        <w:rPr>
          <w:sz w:val="20"/>
          <w:szCs w:val="20"/>
          <w:u w:val="single"/>
        </w:rPr>
      </w:pPr>
      <w:r w:rsidRPr="00E56C2D">
        <w:rPr>
          <w:sz w:val="20"/>
          <w:szCs w:val="20"/>
          <w:u w:val="single"/>
        </w:rPr>
        <w:t xml:space="preserve">Výpis </w:t>
      </w:r>
      <w:r w:rsidR="00040020">
        <w:rPr>
          <w:sz w:val="20"/>
          <w:szCs w:val="20"/>
          <w:u w:val="single"/>
        </w:rPr>
        <w:t xml:space="preserve">navrhovaných prác </w:t>
      </w:r>
      <w:r w:rsidRPr="00E56C2D">
        <w:rPr>
          <w:sz w:val="20"/>
          <w:szCs w:val="20"/>
          <w:u w:val="single"/>
        </w:rPr>
        <w:t>:</w:t>
      </w:r>
    </w:p>
    <w:p w:rsidR="00040020" w:rsidRPr="004E00C5" w:rsidRDefault="00040020" w:rsidP="007611A2">
      <w:pPr>
        <w:jc w:val="both"/>
        <w:rPr>
          <w:sz w:val="20"/>
          <w:szCs w:val="20"/>
        </w:rPr>
      </w:pPr>
    </w:p>
    <w:p w:rsidR="00EE501E" w:rsidRDefault="00AD75B5" w:rsidP="007611A2">
      <w:pPr>
        <w:jc w:val="both"/>
        <w:rPr>
          <w:sz w:val="20"/>
          <w:szCs w:val="20"/>
        </w:rPr>
      </w:pPr>
      <w:r w:rsidRPr="00AD75B5">
        <w:rPr>
          <w:sz w:val="20"/>
          <w:szCs w:val="20"/>
        </w:rPr>
        <w:t xml:space="preserve">- Zhotovenie </w:t>
      </w:r>
      <w:r w:rsidR="00CA5B2D">
        <w:rPr>
          <w:sz w:val="20"/>
          <w:szCs w:val="20"/>
        </w:rPr>
        <w:t xml:space="preserve">dvoch </w:t>
      </w:r>
      <w:r w:rsidR="00BB3B46">
        <w:rPr>
          <w:sz w:val="20"/>
          <w:szCs w:val="20"/>
        </w:rPr>
        <w:t xml:space="preserve">nosných </w:t>
      </w:r>
      <w:r w:rsidR="00EE501E">
        <w:rPr>
          <w:sz w:val="20"/>
          <w:szCs w:val="20"/>
        </w:rPr>
        <w:t xml:space="preserve">vertikálnych </w:t>
      </w:r>
      <w:r w:rsidR="00CA5B2D">
        <w:rPr>
          <w:sz w:val="20"/>
          <w:szCs w:val="20"/>
        </w:rPr>
        <w:t>bočných častí prekrytia z</w:t>
      </w:r>
      <w:r w:rsidR="00BB3B46">
        <w:rPr>
          <w:sz w:val="20"/>
          <w:szCs w:val="20"/>
        </w:rPr>
        <w:t xml:space="preserve"> nerezového uzatvoreného </w:t>
      </w:r>
      <w:r w:rsidR="00CA5B2D">
        <w:rPr>
          <w:sz w:val="20"/>
          <w:szCs w:val="20"/>
        </w:rPr>
        <w:t xml:space="preserve">profilu </w:t>
      </w:r>
      <w:r w:rsidR="00BB3B46">
        <w:rPr>
          <w:sz w:val="20"/>
          <w:szCs w:val="20"/>
        </w:rPr>
        <w:t>štvorcového</w:t>
      </w:r>
    </w:p>
    <w:p w:rsidR="00CA5B2D" w:rsidRDefault="00EE501E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4A05">
        <w:rPr>
          <w:sz w:val="20"/>
          <w:szCs w:val="20"/>
        </w:rPr>
        <w:t xml:space="preserve"> </w:t>
      </w:r>
      <w:r w:rsidR="00BB3B46">
        <w:rPr>
          <w:sz w:val="20"/>
          <w:szCs w:val="20"/>
        </w:rPr>
        <w:t>prierezu</w:t>
      </w:r>
      <w:r>
        <w:rPr>
          <w:sz w:val="20"/>
          <w:szCs w:val="20"/>
        </w:rPr>
        <w:t xml:space="preserve"> </w:t>
      </w:r>
      <w:r w:rsidR="00CA5B2D">
        <w:rPr>
          <w:sz w:val="20"/>
          <w:szCs w:val="20"/>
        </w:rPr>
        <w:t>rozmer</w:t>
      </w:r>
      <w:r w:rsidR="00EC26D5">
        <w:rPr>
          <w:sz w:val="20"/>
          <w:szCs w:val="20"/>
        </w:rPr>
        <w:t>ov</w:t>
      </w:r>
      <w:r w:rsidR="00BB3B46">
        <w:rPr>
          <w:sz w:val="20"/>
          <w:szCs w:val="20"/>
        </w:rPr>
        <w:t xml:space="preserve"> </w:t>
      </w:r>
      <w:r w:rsidR="00EC26D5">
        <w:rPr>
          <w:sz w:val="20"/>
          <w:szCs w:val="20"/>
        </w:rPr>
        <w:t>40x40x3 mm.</w:t>
      </w:r>
    </w:p>
    <w:p w:rsidR="00EE501E" w:rsidRDefault="00AD75B5" w:rsidP="007611A2">
      <w:pPr>
        <w:jc w:val="both"/>
        <w:rPr>
          <w:sz w:val="20"/>
          <w:szCs w:val="20"/>
        </w:rPr>
      </w:pPr>
      <w:r w:rsidRPr="00AD75B5">
        <w:rPr>
          <w:sz w:val="20"/>
          <w:szCs w:val="20"/>
        </w:rPr>
        <w:t xml:space="preserve">- Zhotovenie napojenia </w:t>
      </w:r>
      <w:r w:rsidR="00CA5B2D">
        <w:rPr>
          <w:sz w:val="20"/>
          <w:szCs w:val="20"/>
        </w:rPr>
        <w:t xml:space="preserve">dvoch </w:t>
      </w:r>
      <w:r w:rsidR="00BB3B46">
        <w:rPr>
          <w:sz w:val="20"/>
          <w:szCs w:val="20"/>
        </w:rPr>
        <w:t xml:space="preserve">nosných </w:t>
      </w:r>
      <w:r w:rsidR="00EE501E">
        <w:rPr>
          <w:sz w:val="20"/>
          <w:szCs w:val="20"/>
        </w:rPr>
        <w:t xml:space="preserve">vertikálnych </w:t>
      </w:r>
      <w:r w:rsidR="00CA5B2D">
        <w:rPr>
          <w:sz w:val="20"/>
          <w:szCs w:val="20"/>
        </w:rPr>
        <w:t>bočných častí prekrytia v horizontálnom smere s</w:t>
      </w:r>
      <w:r w:rsidR="00EE501E">
        <w:rPr>
          <w:sz w:val="20"/>
          <w:szCs w:val="20"/>
        </w:rPr>
        <w:t> dvomi</w:t>
      </w:r>
    </w:p>
    <w:p w:rsidR="00CA5B2D" w:rsidRDefault="00EE501E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nerezovými uzatvorenými </w:t>
      </w:r>
      <w:r w:rsidR="00EC26D5">
        <w:rPr>
          <w:sz w:val="20"/>
          <w:szCs w:val="20"/>
        </w:rPr>
        <w:t xml:space="preserve">profilmi </w:t>
      </w:r>
      <w:r>
        <w:rPr>
          <w:sz w:val="20"/>
          <w:szCs w:val="20"/>
        </w:rPr>
        <w:t xml:space="preserve">obdĺžnikového prierezu </w:t>
      </w:r>
      <w:r w:rsidR="00EC26D5">
        <w:rPr>
          <w:sz w:val="20"/>
          <w:szCs w:val="20"/>
        </w:rPr>
        <w:t>rozmerov 60x80x3mm.</w:t>
      </w:r>
    </w:p>
    <w:p w:rsidR="00EE501E" w:rsidRDefault="00AD75B5" w:rsidP="007611A2">
      <w:pPr>
        <w:jc w:val="both"/>
        <w:rPr>
          <w:sz w:val="20"/>
          <w:szCs w:val="20"/>
        </w:rPr>
      </w:pPr>
      <w:r w:rsidRPr="00AD75B5">
        <w:rPr>
          <w:sz w:val="20"/>
          <w:szCs w:val="20"/>
        </w:rPr>
        <w:t xml:space="preserve">- Zhotovenie </w:t>
      </w:r>
      <w:r w:rsidR="00CA5B2D">
        <w:rPr>
          <w:sz w:val="20"/>
          <w:szCs w:val="20"/>
        </w:rPr>
        <w:t>vlastnej nosnej časti prekrytia z</w:t>
      </w:r>
      <w:r w:rsidR="00EE501E">
        <w:rPr>
          <w:sz w:val="20"/>
          <w:szCs w:val="20"/>
        </w:rPr>
        <w:t xml:space="preserve"> uzatvoreného nerezového </w:t>
      </w:r>
      <w:r w:rsidR="00EC26D5">
        <w:rPr>
          <w:sz w:val="20"/>
          <w:szCs w:val="20"/>
        </w:rPr>
        <w:t>profilu</w:t>
      </w:r>
      <w:r w:rsidR="00EE501E">
        <w:rPr>
          <w:sz w:val="20"/>
          <w:szCs w:val="20"/>
        </w:rPr>
        <w:t xml:space="preserve"> obdĺžnikového prierezu </w:t>
      </w:r>
      <w:r w:rsidR="00EC26D5">
        <w:rPr>
          <w:sz w:val="20"/>
          <w:szCs w:val="20"/>
        </w:rPr>
        <w:t xml:space="preserve"> rozmerov</w:t>
      </w:r>
    </w:p>
    <w:p w:rsidR="00EC26D5" w:rsidRDefault="00EE501E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26D5">
        <w:rPr>
          <w:sz w:val="20"/>
          <w:szCs w:val="20"/>
        </w:rPr>
        <w:t xml:space="preserve"> 60x30x2,5 mm.</w:t>
      </w:r>
    </w:p>
    <w:p w:rsidR="00EE501E" w:rsidRDefault="00EE501E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>- Zhotovenie k</w:t>
      </w:r>
      <w:r w:rsidR="00EC26D5">
        <w:rPr>
          <w:sz w:val="20"/>
          <w:szCs w:val="20"/>
        </w:rPr>
        <w:t>otven</w:t>
      </w:r>
      <w:r>
        <w:rPr>
          <w:sz w:val="20"/>
          <w:szCs w:val="20"/>
        </w:rPr>
        <w:t>ia</w:t>
      </w:r>
      <w:r w:rsidR="00EC26D5">
        <w:rPr>
          <w:sz w:val="20"/>
          <w:szCs w:val="20"/>
        </w:rPr>
        <w:t xml:space="preserve"> nosnej konštrukcie prekrytia do </w:t>
      </w:r>
      <w:r>
        <w:rPr>
          <w:sz w:val="20"/>
          <w:szCs w:val="20"/>
        </w:rPr>
        <w:t xml:space="preserve">jestvujúceho </w:t>
      </w:r>
      <w:r w:rsidR="00EC26D5">
        <w:rPr>
          <w:sz w:val="20"/>
          <w:szCs w:val="20"/>
        </w:rPr>
        <w:t>obvodového</w:t>
      </w:r>
      <w:r>
        <w:rPr>
          <w:sz w:val="20"/>
          <w:szCs w:val="20"/>
        </w:rPr>
        <w:t xml:space="preserve"> nosného </w:t>
      </w:r>
      <w:r w:rsidR="00EC26D5">
        <w:rPr>
          <w:sz w:val="20"/>
          <w:szCs w:val="20"/>
        </w:rPr>
        <w:t xml:space="preserve"> muriva hrúbky 450 mm cez</w:t>
      </w:r>
    </w:p>
    <w:p w:rsidR="007611A2" w:rsidRDefault="00EE501E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26D5">
        <w:rPr>
          <w:sz w:val="20"/>
          <w:szCs w:val="20"/>
        </w:rPr>
        <w:t xml:space="preserve"> horizontálne </w:t>
      </w:r>
      <w:r>
        <w:rPr>
          <w:sz w:val="20"/>
          <w:szCs w:val="20"/>
        </w:rPr>
        <w:t xml:space="preserve">nerezové </w:t>
      </w:r>
      <w:r w:rsidR="00EC26D5">
        <w:rPr>
          <w:sz w:val="20"/>
          <w:szCs w:val="20"/>
        </w:rPr>
        <w:t>platničky</w:t>
      </w:r>
      <w:r>
        <w:rPr>
          <w:sz w:val="20"/>
          <w:szCs w:val="20"/>
        </w:rPr>
        <w:t xml:space="preserve"> </w:t>
      </w:r>
      <w:r w:rsidR="00EC26D5">
        <w:rPr>
          <w:sz w:val="20"/>
          <w:szCs w:val="20"/>
        </w:rPr>
        <w:t>rozmerov</w:t>
      </w:r>
      <w:r>
        <w:rPr>
          <w:sz w:val="20"/>
          <w:szCs w:val="20"/>
        </w:rPr>
        <w:t xml:space="preserve"> </w:t>
      </w:r>
      <w:r w:rsidR="00EC26D5">
        <w:rPr>
          <w:sz w:val="20"/>
          <w:szCs w:val="20"/>
        </w:rPr>
        <w:t xml:space="preserve">200x80x8 mm a dve kotvy </w:t>
      </w:r>
      <w:r>
        <w:rPr>
          <w:sz w:val="20"/>
          <w:szCs w:val="20"/>
        </w:rPr>
        <w:t xml:space="preserve">(2 x </w:t>
      </w:r>
      <w:r w:rsidR="00EC26D5">
        <w:rPr>
          <w:sz w:val="20"/>
          <w:szCs w:val="20"/>
        </w:rPr>
        <w:t>M12</w:t>
      </w:r>
      <w:r>
        <w:rPr>
          <w:sz w:val="20"/>
          <w:szCs w:val="20"/>
        </w:rPr>
        <w:t>)</w:t>
      </w:r>
      <w:r w:rsidR="00EC26D5">
        <w:rPr>
          <w:sz w:val="20"/>
          <w:szCs w:val="20"/>
        </w:rPr>
        <w:t xml:space="preserve"> po stranách do hĺbky 250mm</w:t>
      </w:r>
      <w:r w:rsidR="007611A2">
        <w:rPr>
          <w:sz w:val="20"/>
          <w:szCs w:val="20"/>
        </w:rPr>
        <w:t>.</w:t>
      </w:r>
    </w:p>
    <w:p w:rsidR="007611A2" w:rsidRDefault="007611A2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Zhotovenie kotvenia </w:t>
      </w:r>
      <w:r w:rsidR="00EC26D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EC26D5">
        <w:rPr>
          <w:sz w:val="20"/>
          <w:szCs w:val="20"/>
        </w:rPr>
        <w:t>vonkajšej betónovej plochy na</w:t>
      </w:r>
      <w:r w:rsidR="00EE501E">
        <w:rPr>
          <w:sz w:val="20"/>
          <w:szCs w:val="20"/>
        </w:rPr>
        <w:t xml:space="preserve"> </w:t>
      </w:r>
      <w:r w:rsidR="00EC26D5">
        <w:rPr>
          <w:sz w:val="20"/>
          <w:szCs w:val="20"/>
        </w:rPr>
        <w:t xml:space="preserve">relatívnej kóte + 0,335 a + 0,365 cez </w:t>
      </w:r>
      <w:r w:rsidR="00EE501E">
        <w:rPr>
          <w:sz w:val="20"/>
          <w:szCs w:val="20"/>
        </w:rPr>
        <w:t xml:space="preserve">nerezové </w:t>
      </w:r>
      <w:r w:rsidR="00EC26D5">
        <w:rPr>
          <w:sz w:val="20"/>
          <w:szCs w:val="20"/>
        </w:rPr>
        <w:t>platničky</w:t>
      </w:r>
    </w:p>
    <w:p w:rsidR="00AD75B5" w:rsidRPr="00AD75B5" w:rsidRDefault="007611A2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26D5">
        <w:rPr>
          <w:sz w:val="20"/>
          <w:szCs w:val="20"/>
        </w:rPr>
        <w:t xml:space="preserve"> rozmerov 200x200x8 mm</w:t>
      </w:r>
      <w:r>
        <w:rPr>
          <w:sz w:val="20"/>
          <w:szCs w:val="20"/>
        </w:rPr>
        <w:t xml:space="preserve"> </w:t>
      </w:r>
      <w:r w:rsidR="00EC26D5">
        <w:rPr>
          <w:sz w:val="20"/>
          <w:szCs w:val="20"/>
        </w:rPr>
        <w:t>a dve kotvy v protiľahlých rohoch.</w:t>
      </w:r>
    </w:p>
    <w:p w:rsidR="00BB3B46" w:rsidRDefault="0067725F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>- Montáž jednokomorového p</w:t>
      </w:r>
      <w:r w:rsidR="00BB3B46">
        <w:rPr>
          <w:sz w:val="20"/>
          <w:szCs w:val="20"/>
        </w:rPr>
        <w:t>olykarbonátu Lexan hrúbky 10 mm (s hliníkovou páskou a ukončujúcim „U“ profilom)</w:t>
      </w:r>
    </w:p>
    <w:p w:rsidR="00BD1D9D" w:rsidRDefault="00BB3B46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na </w:t>
      </w:r>
      <w:r w:rsidR="00EE501E">
        <w:rPr>
          <w:sz w:val="20"/>
          <w:szCs w:val="20"/>
        </w:rPr>
        <w:t xml:space="preserve">uzatvorený </w:t>
      </w:r>
      <w:r>
        <w:rPr>
          <w:sz w:val="20"/>
          <w:szCs w:val="20"/>
        </w:rPr>
        <w:t xml:space="preserve">nerezový profil </w:t>
      </w:r>
      <w:r w:rsidR="00EE501E">
        <w:rPr>
          <w:sz w:val="20"/>
          <w:szCs w:val="20"/>
        </w:rPr>
        <w:t xml:space="preserve">obdĺžnikového prierezu </w:t>
      </w:r>
      <w:r>
        <w:rPr>
          <w:sz w:val="20"/>
          <w:szCs w:val="20"/>
        </w:rPr>
        <w:t>rozmerov 60x30x2,5 mm</w:t>
      </w:r>
      <w:r w:rsidR="00C518AE">
        <w:rPr>
          <w:sz w:val="20"/>
          <w:szCs w:val="20"/>
        </w:rPr>
        <w:t xml:space="preserve"> s montážnymi prvkami (spodná</w:t>
      </w:r>
    </w:p>
    <w:p w:rsidR="00EC26D5" w:rsidRDefault="00BD1D9D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518AE">
        <w:rPr>
          <w:sz w:val="20"/>
          <w:szCs w:val="20"/>
        </w:rPr>
        <w:t xml:space="preserve"> pryž, horné tesnenie,</w:t>
      </w:r>
      <w:r>
        <w:rPr>
          <w:sz w:val="20"/>
          <w:szCs w:val="20"/>
        </w:rPr>
        <w:t xml:space="preserve"> zvislá hor</w:t>
      </w:r>
      <w:r w:rsidR="00C518AE">
        <w:rPr>
          <w:sz w:val="20"/>
          <w:szCs w:val="20"/>
        </w:rPr>
        <w:t xml:space="preserve">ná krycia lišta, resp. </w:t>
      </w:r>
      <w:r>
        <w:rPr>
          <w:sz w:val="20"/>
          <w:szCs w:val="20"/>
        </w:rPr>
        <w:t>bočná krycia lišta a skrutka s podložkou).</w:t>
      </w:r>
    </w:p>
    <w:p w:rsidR="007611A2" w:rsidRDefault="00AD75B5" w:rsidP="007611A2">
      <w:pPr>
        <w:jc w:val="both"/>
        <w:rPr>
          <w:sz w:val="20"/>
          <w:szCs w:val="20"/>
        </w:rPr>
      </w:pPr>
      <w:r w:rsidRPr="00AD75B5">
        <w:rPr>
          <w:sz w:val="20"/>
          <w:szCs w:val="20"/>
        </w:rPr>
        <w:t xml:space="preserve">- </w:t>
      </w:r>
      <w:r w:rsidR="00203C4D">
        <w:rPr>
          <w:sz w:val="20"/>
          <w:szCs w:val="20"/>
        </w:rPr>
        <w:t xml:space="preserve">V rámci montáže polykarbonátu Lexan v hornej </w:t>
      </w:r>
      <w:r w:rsidR="007611A2">
        <w:rPr>
          <w:sz w:val="20"/>
          <w:szCs w:val="20"/>
        </w:rPr>
        <w:t xml:space="preserve">časti </w:t>
      </w:r>
      <w:r w:rsidR="00203C4D">
        <w:rPr>
          <w:sz w:val="20"/>
          <w:szCs w:val="20"/>
        </w:rPr>
        <w:t>zhotovenie napojenia šikmej striešky prekrytia s</w:t>
      </w:r>
      <w:r w:rsidR="007611A2">
        <w:rPr>
          <w:sz w:val="20"/>
          <w:szCs w:val="20"/>
        </w:rPr>
        <w:t> </w:t>
      </w:r>
      <w:r w:rsidR="00203C4D">
        <w:rPr>
          <w:sz w:val="20"/>
          <w:szCs w:val="20"/>
        </w:rPr>
        <w:t>obvodovou</w:t>
      </w:r>
    </w:p>
    <w:p w:rsidR="007611A2" w:rsidRDefault="007611A2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03C4D">
        <w:rPr>
          <w:sz w:val="20"/>
          <w:szCs w:val="20"/>
        </w:rPr>
        <w:t xml:space="preserve"> nosnou</w:t>
      </w:r>
      <w:r>
        <w:rPr>
          <w:sz w:val="20"/>
          <w:szCs w:val="20"/>
        </w:rPr>
        <w:t xml:space="preserve"> </w:t>
      </w:r>
      <w:r w:rsidR="00203C4D">
        <w:rPr>
          <w:sz w:val="20"/>
          <w:szCs w:val="20"/>
        </w:rPr>
        <w:t>stenou</w:t>
      </w:r>
      <w:r>
        <w:rPr>
          <w:sz w:val="20"/>
          <w:szCs w:val="20"/>
        </w:rPr>
        <w:t xml:space="preserve"> (tmelenie previesť silikónovým tmelom)</w:t>
      </w:r>
      <w:r w:rsidR="00203C4D">
        <w:rPr>
          <w:sz w:val="20"/>
          <w:szCs w:val="20"/>
        </w:rPr>
        <w:t xml:space="preserve"> a v dolnej časti z</w:t>
      </w:r>
      <w:r w:rsidR="00AD75B5" w:rsidRPr="00AD75B5">
        <w:rPr>
          <w:sz w:val="20"/>
          <w:szCs w:val="20"/>
        </w:rPr>
        <w:t>hotovenie</w:t>
      </w:r>
      <w:r w:rsidR="00203C4D">
        <w:rPr>
          <w:sz w:val="20"/>
          <w:szCs w:val="20"/>
        </w:rPr>
        <w:t xml:space="preserve"> napojenia dažďového žľabu</w:t>
      </w:r>
    </w:p>
    <w:p w:rsidR="00AD75B5" w:rsidRPr="00AD75B5" w:rsidRDefault="007611A2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03C4D">
        <w:rPr>
          <w:sz w:val="20"/>
          <w:szCs w:val="20"/>
        </w:rPr>
        <w:t xml:space="preserve"> štvorcového prierezu na šikmú striešku</w:t>
      </w:r>
      <w:r>
        <w:rPr>
          <w:sz w:val="20"/>
          <w:szCs w:val="20"/>
        </w:rPr>
        <w:t xml:space="preserve"> </w:t>
      </w:r>
      <w:r w:rsidR="00203C4D">
        <w:rPr>
          <w:sz w:val="20"/>
          <w:szCs w:val="20"/>
        </w:rPr>
        <w:t>prekrytia.</w:t>
      </w:r>
      <w:r w:rsidR="00203C4D" w:rsidRPr="00AD75B5">
        <w:rPr>
          <w:sz w:val="20"/>
          <w:szCs w:val="20"/>
        </w:rPr>
        <w:t xml:space="preserve"> </w:t>
      </w:r>
      <w:r w:rsidR="00AD75B5" w:rsidRPr="00AD75B5">
        <w:rPr>
          <w:sz w:val="20"/>
          <w:szCs w:val="20"/>
        </w:rPr>
        <w:t xml:space="preserve"> </w:t>
      </w:r>
    </w:p>
    <w:p w:rsidR="00203C4D" w:rsidRDefault="00AD75B5" w:rsidP="007611A2">
      <w:pPr>
        <w:jc w:val="both"/>
        <w:rPr>
          <w:sz w:val="20"/>
          <w:szCs w:val="20"/>
        </w:rPr>
      </w:pPr>
      <w:r w:rsidRPr="00AD75B5">
        <w:rPr>
          <w:sz w:val="20"/>
          <w:szCs w:val="20"/>
        </w:rPr>
        <w:t xml:space="preserve">- Zhotovenie </w:t>
      </w:r>
      <w:r w:rsidR="00203C4D">
        <w:rPr>
          <w:sz w:val="20"/>
          <w:szCs w:val="20"/>
        </w:rPr>
        <w:t>napojenia dažďovej odpadovej rúry štvorcového prierezu na odpadový žľab.</w:t>
      </w:r>
    </w:p>
    <w:p w:rsidR="00EE4A05" w:rsidRDefault="00203C4D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>- Montáž (vyspravenie) zatepľovacieho systému v miestach k</w:t>
      </w:r>
      <w:r w:rsidR="00EE4A05">
        <w:rPr>
          <w:sz w:val="20"/>
          <w:szCs w:val="20"/>
        </w:rPr>
        <w:t xml:space="preserve">otvenia na obvodovú nosnú stenu, vrátane povrchovej </w:t>
      </w:r>
    </w:p>
    <w:p w:rsidR="00AD75B5" w:rsidRDefault="00EE4A05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úpravy podľa jestvujúceho farebného riešenia fasády.</w:t>
      </w:r>
    </w:p>
    <w:p w:rsidR="00EE4A05" w:rsidRDefault="00EE4A05" w:rsidP="007611A2">
      <w:pPr>
        <w:jc w:val="both"/>
        <w:rPr>
          <w:sz w:val="20"/>
          <w:szCs w:val="20"/>
        </w:rPr>
      </w:pPr>
    </w:p>
    <w:p w:rsidR="00EE4A05" w:rsidRDefault="00EE4A05" w:rsidP="007611A2">
      <w:pPr>
        <w:jc w:val="both"/>
        <w:rPr>
          <w:sz w:val="20"/>
          <w:szCs w:val="20"/>
        </w:rPr>
      </w:pPr>
      <w:r>
        <w:rPr>
          <w:sz w:val="20"/>
          <w:szCs w:val="20"/>
        </w:rPr>
        <w:t>Bližší popis je zrejmý z priloženej výkresovej dokumentácie</w:t>
      </w:r>
      <w:r w:rsidRPr="00EE4A05">
        <w:rPr>
          <w:sz w:val="20"/>
          <w:szCs w:val="20"/>
        </w:rPr>
        <w:t xml:space="preserve"> </w:t>
      </w:r>
      <w:r w:rsidRPr="00734F3F">
        <w:rPr>
          <w:sz w:val="20"/>
          <w:szCs w:val="20"/>
        </w:rPr>
        <w:t>architektonic</w:t>
      </w:r>
      <w:r>
        <w:rPr>
          <w:sz w:val="20"/>
          <w:szCs w:val="20"/>
        </w:rPr>
        <w:t>ko-stavebného riešenia, pôdorysov, pohľadov, rezu, výpisov prvkov a detailov.</w:t>
      </w:r>
    </w:p>
    <w:p w:rsidR="002E3D43" w:rsidRDefault="002E3D43" w:rsidP="00EE4A05">
      <w:pPr>
        <w:jc w:val="both"/>
        <w:rPr>
          <w:sz w:val="20"/>
          <w:szCs w:val="20"/>
        </w:rPr>
      </w:pPr>
    </w:p>
    <w:p w:rsidR="00E56C2D" w:rsidRPr="00AD75B5" w:rsidRDefault="00E56C2D" w:rsidP="00AD75B5">
      <w:pPr>
        <w:rPr>
          <w:sz w:val="20"/>
          <w:szCs w:val="20"/>
        </w:rPr>
      </w:pPr>
    </w:p>
    <w:p w:rsidR="00C23C4E" w:rsidRDefault="00C23C4E" w:rsidP="003B2721">
      <w:pPr>
        <w:rPr>
          <w:sz w:val="20"/>
          <w:szCs w:val="20"/>
        </w:rPr>
      </w:pPr>
    </w:p>
    <w:p w:rsidR="00C23C4E" w:rsidRDefault="00C23C4E" w:rsidP="00E87FFC">
      <w:pPr>
        <w:rPr>
          <w:sz w:val="20"/>
          <w:szCs w:val="20"/>
        </w:rPr>
      </w:pPr>
    </w:p>
    <w:p w:rsidR="00E87FFC" w:rsidRPr="00754127" w:rsidRDefault="00EE4A05" w:rsidP="00E87FF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3.</w:t>
      </w:r>
      <w:r w:rsidR="00E87FFC">
        <w:rPr>
          <w:b/>
          <w:sz w:val="20"/>
          <w:szCs w:val="20"/>
          <w:u w:val="single"/>
        </w:rPr>
        <w:t xml:space="preserve"> Vplyv stavby na životné prostredie</w:t>
      </w:r>
    </w:p>
    <w:p w:rsidR="001041D2" w:rsidRPr="00754127" w:rsidRDefault="001041D2" w:rsidP="001041D2">
      <w:pPr>
        <w:jc w:val="both"/>
        <w:rPr>
          <w:b/>
          <w:sz w:val="20"/>
          <w:szCs w:val="20"/>
        </w:rPr>
      </w:pPr>
    </w:p>
    <w:p w:rsidR="00466DAA" w:rsidRDefault="00A9662A" w:rsidP="001041D2">
      <w:pPr>
        <w:jc w:val="both"/>
        <w:rPr>
          <w:sz w:val="20"/>
          <w:szCs w:val="20"/>
        </w:rPr>
      </w:pPr>
      <w:r>
        <w:rPr>
          <w:sz w:val="20"/>
          <w:szCs w:val="20"/>
        </w:rPr>
        <w:t>Stavba „Prekrytie vchodov na študentskom domove Blok C</w:t>
      </w:r>
      <w:r w:rsidR="00466DAA" w:rsidRPr="00754127">
        <w:rPr>
          <w:sz w:val="20"/>
          <w:szCs w:val="20"/>
        </w:rPr>
        <w:t>“ nebude</w:t>
      </w:r>
      <w:r w:rsidR="006651C6" w:rsidRPr="00754127">
        <w:rPr>
          <w:sz w:val="20"/>
          <w:szCs w:val="20"/>
        </w:rPr>
        <w:t xml:space="preserve"> </w:t>
      </w:r>
      <w:r w:rsidR="00466DAA" w:rsidRPr="00754127">
        <w:rPr>
          <w:sz w:val="20"/>
          <w:szCs w:val="20"/>
        </w:rPr>
        <w:t>mať negatívny vplyv na životné prostredie. Funkcia stavby je v danej lokalite v</w:t>
      </w:r>
      <w:r w:rsidR="006651C6" w:rsidRPr="00754127">
        <w:rPr>
          <w:sz w:val="20"/>
          <w:szCs w:val="20"/>
        </w:rPr>
        <w:t> </w:t>
      </w:r>
      <w:r w:rsidR="00466DAA" w:rsidRPr="00754127">
        <w:rPr>
          <w:sz w:val="20"/>
          <w:szCs w:val="20"/>
        </w:rPr>
        <w:t>súlade</w:t>
      </w:r>
      <w:r w:rsidR="006651C6" w:rsidRPr="00754127">
        <w:rPr>
          <w:sz w:val="20"/>
          <w:szCs w:val="20"/>
        </w:rPr>
        <w:t xml:space="preserve"> </w:t>
      </w:r>
      <w:r w:rsidR="00466DAA" w:rsidRPr="00754127">
        <w:rPr>
          <w:sz w:val="20"/>
          <w:szCs w:val="20"/>
        </w:rPr>
        <w:t>s územný</w:t>
      </w:r>
      <w:r w:rsidR="00A947CB">
        <w:rPr>
          <w:sz w:val="20"/>
          <w:szCs w:val="20"/>
        </w:rPr>
        <w:t>m rozvojom mesta Ružomberok</w:t>
      </w:r>
      <w:r w:rsidR="006651C6" w:rsidRPr="00754127">
        <w:rPr>
          <w:sz w:val="20"/>
          <w:szCs w:val="20"/>
        </w:rPr>
        <w:t>. Prevádzka stavebného</w:t>
      </w:r>
      <w:r w:rsidR="00466DAA" w:rsidRPr="00754127">
        <w:rPr>
          <w:sz w:val="20"/>
          <w:szCs w:val="20"/>
        </w:rPr>
        <w:t xml:space="preserve"> objekt</w:t>
      </w:r>
      <w:r w:rsidR="006651C6" w:rsidRPr="00754127">
        <w:rPr>
          <w:sz w:val="20"/>
          <w:szCs w:val="20"/>
        </w:rPr>
        <w:t xml:space="preserve">u </w:t>
      </w:r>
      <w:r w:rsidR="00466DAA" w:rsidRPr="00754127">
        <w:rPr>
          <w:sz w:val="20"/>
          <w:szCs w:val="20"/>
        </w:rPr>
        <w:t>nebude mať záporný vp</w:t>
      </w:r>
      <w:r w:rsidR="006651C6" w:rsidRPr="00754127">
        <w:rPr>
          <w:sz w:val="20"/>
          <w:szCs w:val="20"/>
        </w:rPr>
        <w:t>lyv na životné prostredie.</w:t>
      </w:r>
    </w:p>
    <w:p w:rsidR="002E3D43" w:rsidRDefault="002E3D43" w:rsidP="001041D2">
      <w:pPr>
        <w:jc w:val="both"/>
        <w:rPr>
          <w:sz w:val="20"/>
          <w:szCs w:val="20"/>
        </w:rPr>
      </w:pPr>
    </w:p>
    <w:p w:rsidR="00EE4A05" w:rsidRDefault="00EE4A05" w:rsidP="001041D2">
      <w:pPr>
        <w:jc w:val="both"/>
        <w:rPr>
          <w:sz w:val="20"/>
          <w:szCs w:val="20"/>
        </w:rPr>
      </w:pPr>
    </w:p>
    <w:p w:rsidR="0049588B" w:rsidRPr="00754127" w:rsidRDefault="0049588B" w:rsidP="001041D2">
      <w:pPr>
        <w:jc w:val="both"/>
        <w:rPr>
          <w:sz w:val="20"/>
          <w:szCs w:val="20"/>
        </w:rPr>
      </w:pPr>
    </w:p>
    <w:p w:rsidR="00466DAA" w:rsidRPr="00754127" w:rsidRDefault="00466DAA" w:rsidP="001041D2">
      <w:pPr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      </w:t>
      </w:r>
    </w:p>
    <w:p w:rsidR="002E3D43" w:rsidRPr="002E3D43" w:rsidRDefault="00EE4A05" w:rsidP="00FD348A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4.</w:t>
      </w:r>
      <w:r w:rsidR="00FD348A" w:rsidRPr="00E87FFC">
        <w:rPr>
          <w:b/>
          <w:bCs/>
          <w:sz w:val="20"/>
          <w:szCs w:val="20"/>
          <w:u w:val="single"/>
        </w:rPr>
        <w:t xml:space="preserve"> Požiadavky na BOZP</w:t>
      </w:r>
      <w:r w:rsidR="00A63546" w:rsidRPr="00E87FFC">
        <w:rPr>
          <w:b/>
          <w:bCs/>
          <w:sz w:val="20"/>
          <w:szCs w:val="20"/>
          <w:u w:val="single"/>
        </w:rPr>
        <w:t xml:space="preserve">  </w:t>
      </w:r>
    </w:p>
    <w:p w:rsidR="00F95A0B" w:rsidRPr="00754127" w:rsidRDefault="00F95A0B" w:rsidP="00D7045D">
      <w:pPr>
        <w:spacing w:line="276" w:lineRule="auto"/>
        <w:rPr>
          <w:sz w:val="20"/>
          <w:szCs w:val="20"/>
        </w:rPr>
      </w:pPr>
    </w:p>
    <w:p w:rsidR="00967F5B" w:rsidRPr="00754127" w:rsidRDefault="00A9662A" w:rsidP="0005199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Prekrytie vchodov</w:t>
      </w:r>
      <w:r w:rsidR="00967F5B" w:rsidRPr="00754127">
        <w:rPr>
          <w:sz w:val="20"/>
          <w:szCs w:val="20"/>
        </w:rPr>
        <w:t xml:space="preserve"> je</w:t>
      </w:r>
      <w:r w:rsidR="00F95A0B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potrebné vykonávať v súlade s platnými bezpečnostnými predpismi najmä v zmysle zákona</w:t>
      </w:r>
      <w:r w:rsidR="00F95A0B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č. 124/2006 zo dňa 2.2.2006 o bezpečnosti a ochrane zdravia pri  práci s platnosťou od</w:t>
      </w:r>
      <w:r w:rsidR="00F95A0B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1.7.2006, Nariadenia vlády SR č. 396/2006 Z. z. o minimálnych  bezpečnostných</w:t>
      </w:r>
      <w:r w:rsidR="007907D2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a zdravotných požiadavkách na stavenisko, Nariadenia vlády č. 392/2006 Z. z.</w:t>
      </w:r>
      <w:r w:rsidR="007907D2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o minimálnych bezpečnostných a </w:t>
      </w:r>
      <w:r w:rsidR="007907D2" w:rsidRPr="00754127">
        <w:rPr>
          <w:sz w:val="20"/>
          <w:szCs w:val="20"/>
        </w:rPr>
        <w:t xml:space="preserve">zdravotných požiadavkách </w:t>
      </w:r>
      <w:r w:rsidR="00967F5B" w:rsidRPr="00754127">
        <w:rPr>
          <w:sz w:val="20"/>
          <w:szCs w:val="20"/>
        </w:rPr>
        <w:t>pri používaní pracovných</w:t>
      </w:r>
      <w:r w:rsidR="007907D2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prostriedkov, Vyhlášky MPSVaR SR č. 508/2009 Z. z. na zaistenie bezpečnosti a</w:t>
      </w:r>
      <w:r w:rsidR="007907D2" w:rsidRPr="00754127">
        <w:rPr>
          <w:sz w:val="20"/>
          <w:szCs w:val="20"/>
        </w:rPr>
        <w:t> </w:t>
      </w:r>
      <w:r w:rsidR="00967F5B" w:rsidRPr="00754127">
        <w:rPr>
          <w:sz w:val="20"/>
          <w:szCs w:val="20"/>
        </w:rPr>
        <w:t>ochrany</w:t>
      </w:r>
      <w:r w:rsidR="007907D2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 xml:space="preserve">zdravia pri práci a bezpečnosti </w:t>
      </w:r>
      <w:r w:rsidR="00967F5B" w:rsidRPr="00754127">
        <w:rPr>
          <w:sz w:val="20"/>
          <w:szCs w:val="20"/>
        </w:rPr>
        <w:lastRenderedPageBreak/>
        <w:t>technických zariadení, Vyhlášky MPSVaR SR č. 147/2013</w:t>
      </w:r>
      <w:r w:rsidR="007907D2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Z. z., ktorou sa ustanovujú podrobnosti na zaistenie bezpečnosti a ochrany zdravia pri</w:t>
      </w:r>
      <w:r w:rsidR="007907D2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stavebných prácach a prácach s</w:t>
      </w:r>
      <w:r w:rsidR="000256E2">
        <w:rPr>
          <w:sz w:val="20"/>
          <w:szCs w:val="20"/>
        </w:rPr>
        <w:t xml:space="preserve"> nimi súvisiacich a podrobnosti </w:t>
      </w:r>
      <w:r w:rsidR="00967F5B" w:rsidRPr="00754127">
        <w:rPr>
          <w:sz w:val="20"/>
          <w:szCs w:val="20"/>
        </w:rPr>
        <w:t>o odbornej spôsobilosti na</w:t>
      </w:r>
      <w:r w:rsidR="0005199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výkon niektorých pracovných činností, vrátane jej novely – Vyhlášky MPSVaR  SR č.</w:t>
      </w:r>
      <w:r w:rsidR="007C69B3" w:rsidRPr="00754127">
        <w:rPr>
          <w:sz w:val="20"/>
          <w:szCs w:val="20"/>
        </w:rPr>
        <w:t xml:space="preserve"> </w:t>
      </w:r>
      <w:r w:rsidR="00967F5B" w:rsidRPr="00754127">
        <w:rPr>
          <w:sz w:val="20"/>
          <w:szCs w:val="20"/>
        </w:rPr>
        <w:t>46/2014 a Vyhlášky MPSVaR SR č. 100/2015.</w:t>
      </w:r>
    </w:p>
    <w:p w:rsidR="00967F5B" w:rsidRPr="00754127" w:rsidRDefault="00967F5B" w:rsidP="00D7045D">
      <w:pPr>
        <w:spacing w:line="276" w:lineRule="auto"/>
        <w:jc w:val="both"/>
        <w:rPr>
          <w:sz w:val="20"/>
          <w:szCs w:val="20"/>
        </w:rPr>
      </w:pPr>
    </w:p>
    <w:p w:rsidR="000F0490" w:rsidRPr="00754127" w:rsidRDefault="000F0490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>Všeobecné požiadavky na bezpečnosť a ochranu zdravia pri práci :</w:t>
      </w:r>
    </w:p>
    <w:p w:rsidR="007907D2" w:rsidRPr="00754127" w:rsidRDefault="000F0490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>- pracovníci výstavby musia byť pred nástupom preukázateľne zaškolení odborným</w:t>
      </w:r>
      <w:r w:rsidR="007907D2" w:rsidRPr="00754127">
        <w:rPr>
          <w:sz w:val="20"/>
          <w:szCs w:val="20"/>
        </w:rPr>
        <w:t xml:space="preserve"> </w:t>
      </w:r>
      <w:r w:rsidRPr="00754127">
        <w:rPr>
          <w:sz w:val="20"/>
          <w:szCs w:val="20"/>
        </w:rPr>
        <w:t>pracovníkom</w:t>
      </w:r>
    </w:p>
    <w:p w:rsidR="00C633F2" w:rsidRDefault="007907D2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 </w:t>
      </w:r>
      <w:r w:rsidR="000F0490" w:rsidRPr="00754127">
        <w:rPr>
          <w:sz w:val="20"/>
          <w:szCs w:val="20"/>
        </w:rPr>
        <w:t xml:space="preserve"> BOZP o bezpečnostných opatreniach súvisiacich s realizáciou stavby,</w:t>
      </w:r>
    </w:p>
    <w:p w:rsidR="007907D2" w:rsidRPr="00754127" w:rsidRDefault="00C633F2" w:rsidP="000F049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F0490" w:rsidRPr="00754127">
        <w:rPr>
          <w:sz w:val="20"/>
          <w:szCs w:val="20"/>
        </w:rPr>
        <w:t>dodržiavanie predpisov bezpečnosti a ochrany zdravia pri práci</w:t>
      </w:r>
    </w:p>
    <w:p w:rsidR="007907D2" w:rsidRPr="00754127" w:rsidRDefault="009333EE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- </w:t>
      </w:r>
      <w:r w:rsidR="000F0490" w:rsidRPr="00754127">
        <w:rPr>
          <w:sz w:val="20"/>
          <w:szCs w:val="20"/>
        </w:rPr>
        <w:t xml:space="preserve">ochranné a bezpečnostné </w:t>
      </w:r>
      <w:r w:rsidRPr="00754127">
        <w:rPr>
          <w:sz w:val="20"/>
          <w:szCs w:val="20"/>
        </w:rPr>
        <w:t>pomôcky pravidelne kontrolovať a udržiavať zariadenia</w:t>
      </w:r>
      <w:r w:rsidR="007907D2" w:rsidRPr="00754127">
        <w:rPr>
          <w:sz w:val="20"/>
          <w:szCs w:val="20"/>
        </w:rPr>
        <w:t xml:space="preserve"> </w:t>
      </w:r>
      <w:r w:rsidRPr="00754127">
        <w:rPr>
          <w:sz w:val="20"/>
          <w:szCs w:val="20"/>
        </w:rPr>
        <w:t>v predpísanom stave,</w:t>
      </w:r>
    </w:p>
    <w:p w:rsidR="009333EE" w:rsidRPr="00754127" w:rsidRDefault="009333EE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>- pracovné a ochranné pomôcky musia byť pripravené pred začatím práce,</w:t>
      </w:r>
    </w:p>
    <w:p w:rsidR="009333EE" w:rsidRPr="00754127" w:rsidRDefault="009333EE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>- udržiavať poriadok na skládke materiálu a jej okolí,</w:t>
      </w:r>
    </w:p>
    <w:p w:rsidR="009333EE" w:rsidRDefault="009333EE" w:rsidP="000F049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>- dodržiavať ustanovenia STN 34 1010, STN 34 0350, STN 34 3500 pri práci</w:t>
      </w:r>
      <w:r w:rsidR="007907D2" w:rsidRPr="00754127">
        <w:rPr>
          <w:sz w:val="20"/>
          <w:szCs w:val="20"/>
        </w:rPr>
        <w:t xml:space="preserve"> </w:t>
      </w:r>
      <w:r w:rsidRPr="00754127">
        <w:rPr>
          <w:sz w:val="20"/>
          <w:szCs w:val="20"/>
        </w:rPr>
        <w:t>s</w:t>
      </w:r>
      <w:r w:rsidR="00C633F2">
        <w:rPr>
          <w:sz w:val="20"/>
          <w:szCs w:val="20"/>
        </w:rPr>
        <w:t> </w:t>
      </w:r>
      <w:r w:rsidRPr="00754127">
        <w:rPr>
          <w:sz w:val="20"/>
          <w:szCs w:val="20"/>
        </w:rPr>
        <w:t>elektrickými</w:t>
      </w:r>
      <w:r w:rsidR="00C633F2">
        <w:rPr>
          <w:sz w:val="20"/>
          <w:szCs w:val="20"/>
        </w:rPr>
        <w:t xml:space="preserve"> </w:t>
      </w:r>
      <w:r w:rsidRPr="00754127">
        <w:rPr>
          <w:sz w:val="20"/>
          <w:szCs w:val="20"/>
        </w:rPr>
        <w:t>prístrojmi a zariadeniami.</w:t>
      </w:r>
    </w:p>
    <w:p w:rsidR="0049588B" w:rsidRDefault="0049588B" w:rsidP="000F0490">
      <w:pPr>
        <w:spacing w:line="276" w:lineRule="auto"/>
        <w:jc w:val="both"/>
        <w:rPr>
          <w:sz w:val="20"/>
          <w:szCs w:val="20"/>
        </w:rPr>
      </w:pPr>
    </w:p>
    <w:p w:rsidR="0049588B" w:rsidRDefault="0049588B" w:rsidP="000F0490">
      <w:pPr>
        <w:spacing w:line="276" w:lineRule="auto"/>
        <w:jc w:val="both"/>
        <w:rPr>
          <w:sz w:val="20"/>
          <w:szCs w:val="20"/>
        </w:rPr>
      </w:pPr>
    </w:p>
    <w:p w:rsidR="0049588B" w:rsidRDefault="0049588B" w:rsidP="000F0490">
      <w:pPr>
        <w:spacing w:line="276" w:lineRule="auto"/>
        <w:jc w:val="both"/>
        <w:rPr>
          <w:sz w:val="20"/>
          <w:szCs w:val="20"/>
        </w:rPr>
      </w:pPr>
    </w:p>
    <w:p w:rsidR="0049588B" w:rsidRDefault="0049588B" w:rsidP="000F0490">
      <w:pPr>
        <w:spacing w:line="276" w:lineRule="auto"/>
        <w:jc w:val="both"/>
        <w:rPr>
          <w:sz w:val="20"/>
          <w:szCs w:val="20"/>
        </w:rPr>
      </w:pPr>
    </w:p>
    <w:p w:rsidR="0049588B" w:rsidRPr="00754127" w:rsidRDefault="0049588B" w:rsidP="000F0490">
      <w:pPr>
        <w:spacing w:line="276" w:lineRule="auto"/>
        <w:jc w:val="both"/>
        <w:rPr>
          <w:sz w:val="20"/>
          <w:szCs w:val="20"/>
        </w:rPr>
      </w:pPr>
    </w:p>
    <w:p w:rsidR="00E930A0" w:rsidRDefault="009333EE" w:rsidP="00E930A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 xml:space="preserve">  </w:t>
      </w:r>
    </w:p>
    <w:p w:rsidR="002E3D43" w:rsidRDefault="002E3D43" w:rsidP="00E930A0">
      <w:pPr>
        <w:spacing w:line="276" w:lineRule="auto"/>
        <w:jc w:val="both"/>
        <w:rPr>
          <w:sz w:val="20"/>
          <w:szCs w:val="20"/>
        </w:rPr>
      </w:pPr>
    </w:p>
    <w:p w:rsidR="002E3D43" w:rsidRDefault="002E3D43" w:rsidP="00E930A0">
      <w:pPr>
        <w:spacing w:line="276" w:lineRule="auto"/>
        <w:jc w:val="both"/>
        <w:rPr>
          <w:sz w:val="20"/>
          <w:szCs w:val="20"/>
        </w:rPr>
      </w:pPr>
    </w:p>
    <w:p w:rsidR="006102E8" w:rsidRPr="00754127" w:rsidRDefault="006102E8" w:rsidP="00E930A0">
      <w:pPr>
        <w:spacing w:line="276" w:lineRule="auto"/>
        <w:jc w:val="both"/>
        <w:rPr>
          <w:sz w:val="20"/>
          <w:szCs w:val="20"/>
        </w:rPr>
      </w:pPr>
      <w:r w:rsidRPr="00754127">
        <w:rPr>
          <w:sz w:val="20"/>
          <w:szCs w:val="20"/>
        </w:rPr>
        <w:t>Vypracoval : Ing. arch. Juraj Šrámek</w:t>
      </w:r>
    </w:p>
    <w:sectPr w:rsidR="006102E8" w:rsidRPr="00754127" w:rsidSect="008720B9">
      <w:footerReference w:type="default" r:id="rId7"/>
      <w:pgSz w:w="11906" w:h="16838"/>
      <w:pgMar w:top="1418" w:right="1247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57" w:rsidRDefault="00363F57" w:rsidP="00B12D32">
      <w:r>
        <w:separator/>
      </w:r>
    </w:p>
  </w:endnote>
  <w:endnote w:type="continuationSeparator" w:id="0">
    <w:p w:rsidR="00363F57" w:rsidRDefault="00363F57" w:rsidP="00B1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223899"/>
      <w:docPartObj>
        <w:docPartGallery w:val="Page Numbers (Bottom of Page)"/>
        <w:docPartUnique/>
      </w:docPartObj>
    </w:sdtPr>
    <w:sdtEndPr/>
    <w:sdtContent>
      <w:p w:rsidR="00EC1BFA" w:rsidRDefault="009D670C">
        <w:pPr>
          <w:pStyle w:val="Pta"/>
          <w:jc w:val="center"/>
        </w:pPr>
        <w:r>
          <w:fldChar w:fldCharType="begin"/>
        </w:r>
        <w:r w:rsidR="00C01C2D">
          <w:instrText>PAGE   \* MERGEFORMAT</w:instrText>
        </w:r>
        <w:r>
          <w:fldChar w:fldCharType="separate"/>
        </w:r>
        <w:r w:rsidR="00CC7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BFA" w:rsidRDefault="00EC1B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57" w:rsidRDefault="00363F57" w:rsidP="00B12D32">
      <w:r>
        <w:separator/>
      </w:r>
    </w:p>
  </w:footnote>
  <w:footnote w:type="continuationSeparator" w:id="0">
    <w:p w:rsidR="00363F57" w:rsidRDefault="00363F57" w:rsidP="00B1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DFA"/>
    <w:multiLevelType w:val="multilevel"/>
    <w:tmpl w:val="CE24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7836B0"/>
    <w:multiLevelType w:val="hybridMultilevel"/>
    <w:tmpl w:val="FBA0A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0410"/>
    <w:multiLevelType w:val="hybridMultilevel"/>
    <w:tmpl w:val="FA006C5C"/>
    <w:lvl w:ilvl="0" w:tplc="837A6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36EC3"/>
    <w:multiLevelType w:val="multilevel"/>
    <w:tmpl w:val="0BEE2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764FD0"/>
    <w:multiLevelType w:val="hybridMultilevel"/>
    <w:tmpl w:val="8AB6005E"/>
    <w:lvl w:ilvl="0" w:tplc="5F7A4E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093DDC"/>
    <w:multiLevelType w:val="hybridMultilevel"/>
    <w:tmpl w:val="A34AEF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CA4326"/>
    <w:multiLevelType w:val="multilevel"/>
    <w:tmpl w:val="0BEE2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291C60"/>
    <w:multiLevelType w:val="hybridMultilevel"/>
    <w:tmpl w:val="C818B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479B"/>
    <w:multiLevelType w:val="multilevel"/>
    <w:tmpl w:val="0BEE2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4561F9F"/>
    <w:multiLevelType w:val="hybridMultilevel"/>
    <w:tmpl w:val="34727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30A6C"/>
    <w:multiLevelType w:val="hybridMultilevel"/>
    <w:tmpl w:val="A5CC0B6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2FEB"/>
    <w:multiLevelType w:val="hybridMultilevel"/>
    <w:tmpl w:val="EDFA1B72"/>
    <w:lvl w:ilvl="0" w:tplc="33E8C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63E80"/>
    <w:multiLevelType w:val="multilevel"/>
    <w:tmpl w:val="C8FCEB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623315F1"/>
    <w:multiLevelType w:val="hybridMultilevel"/>
    <w:tmpl w:val="18CA84BA"/>
    <w:lvl w:ilvl="0" w:tplc="4102383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B25F5A"/>
    <w:multiLevelType w:val="hybridMultilevel"/>
    <w:tmpl w:val="3E7A1B4C"/>
    <w:lvl w:ilvl="0" w:tplc="370AF9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D7A59"/>
    <w:multiLevelType w:val="hybridMultilevel"/>
    <w:tmpl w:val="5696524C"/>
    <w:lvl w:ilvl="0" w:tplc="A3E4D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0C2CB6"/>
    <w:multiLevelType w:val="hybridMultilevel"/>
    <w:tmpl w:val="5EA083B4"/>
    <w:lvl w:ilvl="0" w:tplc="3F308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3E548F"/>
    <w:multiLevelType w:val="hybridMultilevel"/>
    <w:tmpl w:val="CEDC8530"/>
    <w:lvl w:ilvl="0" w:tplc="9C20E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0B"/>
    <w:rsid w:val="00003C49"/>
    <w:rsid w:val="00005903"/>
    <w:rsid w:val="000256E2"/>
    <w:rsid w:val="00030D64"/>
    <w:rsid w:val="00032F24"/>
    <w:rsid w:val="00036881"/>
    <w:rsid w:val="00040020"/>
    <w:rsid w:val="00041E96"/>
    <w:rsid w:val="000423E0"/>
    <w:rsid w:val="00047261"/>
    <w:rsid w:val="00051997"/>
    <w:rsid w:val="000562EE"/>
    <w:rsid w:val="00057356"/>
    <w:rsid w:val="00071A48"/>
    <w:rsid w:val="00085C59"/>
    <w:rsid w:val="000904B9"/>
    <w:rsid w:val="000944C4"/>
    <w:rsid w:val="0009556F"/>
    <w:rsid w:val="000A01AF"/>
    <w:rsid w:val="000A7FDC"/>
    <w:rsid w:val="000C12AB"/>
    <w:rsid w:val="000C5445"/>
    <w:rsid w:val="000C7A79"/>
    <w:rsid w:val="000D568B"/>
    <w:rsid w:val="000E0ED8"/>
    <w:rsid w:val="000E632D"/>
    <w:rsid w:val="000E7511"/>
    <w:rsid w:val="000F0490"/>
    <w:rsid w:val="000F58A2"/>
    <w:rsid w:val="000F60B6"/>
    <w:rsid w:val="001041D2"/>
    <w:rsid w:val="00116B38"/>
    <w:rsid w:val="001327F4"/>
    <w:rsid w:val="00135FC1"/>
    <w:rsid w:val="0014126E"/>
    <w:rsid w:val="00147C17"/>
    <w:rsid w:val="00157745"/>
    <w:rsid w:val="00161A07"/>
    <w:rsid w:val="00164210"/>
    <w:rsid w:val="0016500A"/>
    <w:rsid w:val="00176625"/>
    <w:rsid w:val="00182430"/>
    <w:rsid w:val="00186EF8"/>
    <w:rsid w:val="00194BDD"/>
    <w:rsid w:val="001B43CB"/>
    <w:rsid w:val="001B6F60"/>
    <w:rsid w:val="001E420A"/>
    <w:rsid w:val="001F6A57"/>
    <w:rsid w:val="001F6E0A"/>
    <w:rsid w:val="00203C4D"/>
    <w:rsid w:val="00222075"/>
    <w:rsid w:val="00231CC7"/>
    <w:rsid w:val="0023387B"/>
    <w:rsid w:val="00250DAA"/>
    <w:rsid w:val="002527C8"/>
    <w:rsid w:val="0025364B"/>
    <w:rsid w:val="00256402"/>
    <w:rsid w:val="002577E6"/>
    <w:rsid w:val="00260439"/>
    <w:rsid w:val="00263A07"/>
    <w:rsid w:val="002649C7"/>
    <w:rsid w:val="00271089"/>
    <w:rsid w:val="00284BFD"/>
    <w:rsid w:val="00295985"/>
    <w:rsid w:val="00297983"/>
    <w:rsid w:val="002A2AE8"/>
    <w:rsid w:val="002B27F4"/>
    <w:rsid w:val="002B6F30"/>
    <w:rsid w:val="002D0B43"/>
    <w:rsid w:val="002E3D43"/>
    <w:rsid w:val="002F4FE4"/>
    <w:rsid w:val="00310B99"/>
    <w:rsid w:val="00314B93"/>
    <w:rsid w:val="00317E93"/>
    <w:rsid w:val="00320B20"/>
    <w:rsid w:val="00325B6E"/>
    <w:rsid w:val="00325E7E"/>
    <w:rsid w:val="00335FB1"/>
    <w:rsid w:val="00351A0F"/>
    <w:rsid w:val="003549CB"/>
    <w:rsid w:val="00355AFF"/>
    <w:rsid w:val="00363DC6"/>
    <w:rsid w:val="00363F57"/>
    <w:rsid w:val="00364CE4"/>
    <w:rsid w:val="00380C37"/>
    <w:rsid w:val="003A54DD"/>
    <w:rsid w:val="003A5765"/>
    <w:rsid w:val="003B2721"/>
    <w:rsid w:val="003B5205"/>
    <w:rsid w:val="003C104C"/>
    <w:rsid w:val="003D7E87"/>
    <w:rsid w:val="003E1CB5"/>
    <w:rsid w:val="003F0C6E"/>
    <w:rsid w:val="003F7E53"/>
    <w:rsid w:val="0040680A"/>
    <w:rsid w:val="0040777E"/>
    <w:rsid w:val="0041492D"/>
    <w:rsid w:val="004164B5"/>
    <w:rsid w:val="004403E4"/>
    <w:rsid w:val="00441DAD"/>
    <w:rsid w:val="00465469"/>
    <w:rsid w:val="004654C0"/>
    <w:rsid w:val="00466B3B"/>
    <w:rsid w:val="00466DAA"/>
    <w:rsid w:val="00467A0B"/>
    <w:rsid w:val="00473C56"/>
    <w:rsid w:val="00474DED"/>
    <w:rsid w:val="00480955"/>
    <w:rsid w:val="004838E1"/>
    <w:rsid w:val="00483D24"/>
    <w:rsid w:val="00490663"/>
    <w:rsid w:val="00490687"/>
    <w:rsid w:val="0049588B"/>
    <w:rsid w:val="004A27B1"/>
    <w:rsid w:val="004A7578"/>
    <w:rsid w:val="004C1ADB"/>
    <w:rsid w:val="004C21E3"/>
    <w:rsid w:val="004C5EC3"/>
    <w:rsid w:val="004C6BCD"/>
    <w:rsid w:val="004D4A4E"/>
    <w:rsid w:val="004E00C5"/>
    <w:rsid w:val="004E2F90"/>
    <w:rsid w:val="004E52A2"/>
    <w:rsid w:val="0051021F"/>
    <w:rsid w:val="00521EA5"/>
    <w:rsid w:val="00524DBC"/>
    <w:rsid w:val="00530C78"/>
    <w:rsid w:val="00536F62"/>
    <w:rsid w:val="0053718D"/>
    <w:rsid w:val="00537CA4"/>
    <w:rsid w:val="005432DA"/>
    <w:rsid w:val="00550D0D"/>
    <w:rsid w:val="00553CBE"/>
    <w:rsid w:val="00555C80"/>
    <w:rsid w:val="00556CA5"/>
    <w:rsid w:val="0056044D"/>
    <w:rsid w:val="00561E1D"/>
    <w:rsid w:val="00562BB2"/>
    <w:rsid w:val="00566831"/>
    <w:rsid w:val="00570D1E"/>
    <w:rsid w:val="00577406"/>
    <w:rsid w:val="005935C5"/>
    <w:rsid w:val="00595E06"/>
    <w:rsid w:val="005A4EC2"/>
    <w:rsid w:val="005C6F66"/>
    <w:rsid w:val="005D196F"/>
    <w:rsid w:val="005D46EC"/>
    <w:rsid w:val="005D5036"/>
    <w:rsid w:val="005D692F"/>
    <w:rsid w:val="005D6E54"/>
    <w:rsid w:val="005D7226"/>
    <w:rsid w:val="00603623"/>
    <w:rsid w:val="006042EB"/>
    <w:rsid w:val="006102E8"/>
    <w:rsid w:val="00610D4F"/>
    <w:rsid w:val="00613033"/>
    <w:rsid w:val="00623FF2"/>
    <w:rsid w:val="00624290"/>
    <w:rsid w:val="00626F54"/>
    <w:rsid w:val="00641B66"/>
    <w:rsid w:val="00642B1C"/>
    <w:rsid w:val="00642E50"/>
    <w:rsid w:val="00643703"/>
    <w:rsid w:val="0065734F"/>
    <w:rsid w:val="00657D46"/>
    <w:rsid w:val="006602B3"/>
    <w:rsid w:val="0066197B"/>
    <w:rsid w:val="00663765"/>
    <w:rsid w:val="006651C6"/>
    <w:rsid w:val="006672B6"/>
    <w:rsid w:val="00672683"/>
    <w:rsid w:val="0067725F"/>
    <w:rsid w:val="00692511"/>
    <w:rsid w:val="006A041A"/>
    <w:rsid w:val="006B133D"/>
    <w:rsid w:val="006B2503"/>
    <w:rsid w:val="006D6E7C"/>
    <w:rsid w:val="006F024B"/>
    <w:rsid w:val="006F0EB2"/>
    <w:rsid w:val="006F3738"/>
    <w:rsid w:val="00703718"/>
    <w:rsid w:val="00704938"/>
    <w:rsid w:val="00712AE9"/>
    <w:rsid w:val="00725881"/>
    <w:rsid w:val="0073026A"/>
    <w:rsid w:val="00733F0D"/>
    <w:rsid w:val="00751C56"/>
    <w:rsid w:val="007527C4"/>
    <w:rsid w:val="00754127"/>
    <w:rsid w:val="007611A2"/>
    <w:rsid w:val="00774B34"/>
    <w:rsid w:val="00784567"/>
    <w:rsid w:val="007907D2"/>
    <w:rsid w:val="00791980"/>
    <w:rsid w:val="00793258"/>
    <w:rsid w:val="00793C08"/>
    <w:rsid w:val="00794BFF"/>
    <w:rsid w:val="00797E1F"/>
    <w:rsid w:val="007A2E0E"/>
    <w:rsid w:val="007A5696"/>
    <w:rsid w:val="007B5AA5"/>
    <w:rsid w:val="007C1773"/>
    <w:rsid w:val="007C5184"/>
    <w:rsid w:val="007C52C7"/>
    <w:rsid w:val="007C69B3"/>
    <w:rsid w:val="007D0DE0"/>
    <w:rsid w:val="007D32DD"/>
    <w:rsid w:val="007E496A"/>
    <w:rsid w:val="007F7E94"/>
    <w:rsid w:val="00801647"/>
    <w:rsid w:val="008062C4"/>
    <w:rsid w:val="00806562"/>
    <w:rsid w:val="00815F71"/>
    <w:rsid w:val="00816555"/>
    <w:rsid w:val="00823595"/>
    <w:rsid w:val="00824451"/>
    <w:rsid w:val="00833AF5"/>
    <w:rsid w:val="0084226A"/>
    <w:rsid w:val="00845571"/>
    <w:rsid w:val="00846DE8"/>
    <w:rsid w:val="00847E2D"/>
    <w:rsid w:val="0086067A"/>
    <w:rsid w:val="008647FC"/>
    <w:rsid w:val="008652FD"/>
    <w:rsid w:val="00867F79"/>
    <w:rsid w:val="008720B9"/>
    <w:rsid w:val="008818F5"/>
    <w:rsid w:val="0088327A"/>
    <w:rsid w:val="00884E6F"/>
    <w:rsid w:val="0088711A"/>
    <w:rsid w:val="00891C70"/>
    <w:rsid w:val="00893B81"/>
    <w:rsid w:val="00895856"/>
    <w:rsid w:val="008A6474"/>
    <w:rsid w:val="008B787A"/>
    <w:rsid w:val="008C5D8B"/>
    <w:rsid w:val="008D571A"/>
    <w:rsid w:val="008E02DA"/>
    <w:rsid w:val="008E5792"/>
    <w:rsid w:val="008F0535"/>
    <w:rsid w:val="008F3062"/>
    <w:rsid w:val="008F41AD"/>
    <w:rsid w:val="008F5981"/>
    <w:rsid w:val="008F63BD"/>
    <w:rsid w:val="0090670D"/>
    <w:rsid w:val="0090735E"/>
    <w:rsid w:val="00922152"/>
    <w:rsid w:val="009246EC"/>
    <w:rsid w:val="009333EE"/>
    <w:rsid w:val="009347BE"/>
    <w:rsid w:val="00937B4B"/>
    <w:rsid w:val="0096338E"/>
    <w:rsid w:val="009653BA"/>
    <w:rsid w:val="00967F5B"/>
    <w:rsid w:val="009725CC"/>
    <w:rsid w:val="009761EA"/>
    <w:rsid w:val="00993B54"/>
    <w:rsid w:val="009949FE"/>
    <w:rsid w:val="009A37F0"/>
    <w:rsid w:val="009A404F"/>
    <w:rsid w:val="009B3299"/>
    <w:rsid w:val="009C4ABE"/>
    <w:rsid w:val="009C5FAD"/>
    <w:rsid w:val="009D0609"/>
    <w:rsid w:val="009D45B4"/>
    <w:rsid w:val="009D670C"/>
    <w:rsid w:val="009D77BA"/>
    <w:rsid w:val="009F03D0"/>
    <w:rsid w:val="009F0F0E"/>
    <w:rsid w:val="009F3472"/>
    <w:rsid w:val="00A120A0"/>
    <w:rsid w:val="00A174B4"/>
    <w:rsid w:val="00A23EBA"/>
    <w:rsid w:val="00A32BF0"/>
    <w:rsid w:val="00A35046"/>
    <w:rsid w:val="00A3554B"/>
    <w:rsid w:val="00A40721"/>
    <w:rsid w:val="00A42A5E"/>
    <w:rsid w:val="00A515DD"/>
    <w:rsid w:val="00A53F4D"/>
    <w:rsid w:val="00A63546"/>
    <w:rsid w:val="00A66B83"/>
    <w:rsid w:val="00A932A6"/>
    <w:rsid w:val="00A93588"/>
    <w:rsid w:val="00A947CB"/>
    <w:rsid w:val="00A9662A"/>
    <w:rsid w:val="00AA692E"/>
    <w:rsid w:val="00AA79DD"/>
    <w:rsid w:val="00AB0ED9"/>
    <w:rsid w:val="00AB17E1"/>
    <w:rsid w:val="00AC1ABE"/>
    <w:rsid w:val="00AC6339"/>
    <w:rsid w:val="00AD1402"/>
    <w:rsid w:val="00AD75B5"/>
    <w:rsid w:val="00AE0DA2"/>
    <w:rsid w:val="00AF52F3"/>
    <w:rsid w:val="00B04DCE"/>
    <w:rsid w:val="00B11C45"/>
    <w:rsid w:val="00B12D32"/>
    <w:rsid w:val="00B22983"/>
    <w:rsid w:val="00B317C1"/>
    <w:rsid w:val="00B31DAD"/>
    <w:rsid w:val="00B3249E"/>
    <w:rsid w:val="00B32FA4"/>
    <w:rsid w:val="00B33DDB"/>
    <w:rsid w:val="00B366BE"/>
    <w:rsid w:val="00B51ECD"/>
    <w:rsid w:val="00B621FB"/>
    <w:rsid w:val="00B66954"/>
    <w:rsid w:val="00B70B35"/>
    <w:rsid w:val="00B70BE4"/>
    <w:rsid w:val="00B822F8"/>
    <w:rsid w:val="00B90C1E"/>
    <w:rsid w:val="00B9113E"/>
    <w:rsid w:val="00BB3167"/>
    <w:rsid w:val="00BB3B46"/>
    <w:rsid w:val="00BC1FB9"/>
    <w:rsid w:val="00BC2CEA"/>
    <w:rsid w:val="00BD0BD0"/>
    <w:rsid w:val="00BD1D9D"/>
    <w:rsid w:val="00BE3CE0"/>
    <w:rsid w:val="00BE5BB0"/>
    <w:rsid w:val="00C00953"/>
    <w:rsid w:val="00C01C2D"/>
    <w:rsid w:val="00C043DE"/>
    <w:rsid w:val="00C132F9"/>
    <w:rsid w:val="00C2026D"/>
    <w:rsid w:val="00C23A78"/>
    <w:rsid w:val="00C23C4E"/>
    <w:rsid w:val="00C256D9"/>
    <w:rsid w:val="00C3052E"/>
    <w:rsid w:val="00C375D2"/>
    <w:rsid w:val="00C41936"/>
    <w:rsid w:val="00C50775"/>
    <w:rsid w:val="00C518AE"/>
    <w:rsid w:val="00C5227F"/>
    <w:rsid w:val="00C633F2"/>
    <w:rsid w:val="00C64031"/>
    <w:rsid w:val="00C65E27"/>
    <w:rsid w:val="00C77E1C"/>
    <w:rsid w:val="00C82664"/>
    <w:rsid w:val="00C91DA2"/>
    <w:rsid w:val="00C95027"/>
    <w:rsid w:val="00CA448B"/>
    <w:rsid w:val="00CA5B2D"/>
    <w:rsid w:val="00CB30F0"/>
    <w:rsid w:val="00CB462E"/>
    <w:rsid w:val="00CC0D70"/>
    <w:rsid w:val="00CC7812"/>
    <w:rsid w:val="00CD0980"/>
    <w:rsid w:val="00CD7BC3"/>
    <w:rsid w:val="00CE1245"/>
    <w:rsid w:val="00CE250A"/>
    <w:rsid w:val="00CE7B14"/>
    <w:rsid w:val="00CF1FE9"/>
    <w:rsid w:val="00CF56F0"/>
    <w:rsid w:val="00CF59CB"/>
    <w:rsid w:val="00D05CF6"/>
    <w:rsid w:val="00D11C2B"/>
    <w:rsid w:val="00D14A33"/>
    <w:rsid w:val="00D15CF5"/>
    <w:rsid w:val="00D22975"/>
    <w:rsid w:val="00D23B9F"/>
    <w:rsid w:val="00D23CE3"/>
    <w:rsid w:val="00D24E02"/>
    <w:rsid w:val="00D30441"/>
    <w:rsid w:val="00D31114"/>
    <w:rsid w:val="00D3550C"/>
    <w:rsid w:val="00D37192"/>
    <w:rsid w:val="00D45A4F"/>
    <w:rsid w:val="00D54914"/>
    <w:rsid w:val="00D613C4"/>
    <w:rsid w:val="00D66178"/>
    <w:rsid w:val="00D7045D"/>
    <w:rsid w:val="00D94A5D"/>
    <w:rsid w:val="00DA10E1"/>
    <w:rsid w:val="00DA1A09"/>
    <w:rsid w:val="00DA2143"/>
    <w:rsid w:val="00DA27D5"/>
    <w:rsid w:val="00DB0A21"/>
    <w:rsid w:val="00DB0A77"/>
    <w:rsid w:val="00DB37C3"/>
    <w:rsid w:val="00DC3B4A"/>
    <w:rsid w:val="00DC727B"/>
    <w:rsid w:val="00DC7410"/>
    <w:rsid w:val="00DD79E6"/>
    <w:rsid w:val="00DE02AA"/>
    <w:rsid w:val="00DE4B7B"/>
    <w:rsid w:val="00DF0FE2"/>
    <w:rsid w:val="00DF587B"/>
    <w:rsid w:val="00DF5A90"/>
    <w:rsid w:val="00E01A5C"/>
    <w:rsid w:val="00E07241"/>
    <w:rsid w:val="00E12172"/>
    <w:rsid w:val="00E13A65"/>
    <w:rsid w:val="00E20934"/>
    <w:rsid w:val="00E345F5"/>
    <w:rsid w:val="00E43660"/>
    <w:rsid w:val="00E45E85"/>
    <w:rsid w:val="00E502A5"/>
    <w:rsid w:val="00E56C2D"/>
    <w:rsid w:val="00E87FFC"/>
    <w:rsid w:val="00E930A0"/>
    <w:rsid w:val="00E97AAC"/>
    <w:rsid w:val="00EA5DB7"/>
    <w:rsid w:val="00EA7E00"/>
    <w:rsid w:val="00EC1BFA"/>
    <w:rsid w:val="00EC26D5"/>
    <w:rsid w:val="00EE1C71"/>
    <w:rsid w:val="00EE4A05"/>
    <w:rsid w:val="00EE501E"/>
    <w:rsid w:val="00EF4D4D"/>
    <w:rsid w:val="00F00D9B"/>
    <w:rsid w:val="00F022E4"/>
    <w:rsid w:val="00F06242"/>
    <w:rsid w:val="00F14D55"/>
    <w:rsid w:val="00F15BEB"/>
    <w:rsid w:val="00F30CFB"/>
    <w:rsid w:val="00F34858"/>
    <w:rsid w:val="00F36D81"/>
    <w:rsid w:val="00F37DC8"/>
    <w:rsid w:val="00F4474A"/>
    <w:rsid w:val="00F60A7C"/>
    <w:rsid w:val="00F64E6B"/>
    <w:rsid w:val="00F6651D"/>
    <w:rsid w:val="00F814D3"/>
    <w:rsid w:val="00F86C1F"/>
    <w:rsid w:val="00F95856"/>
    <w:rsid w:val="00F95A0B"/>
    <w:rsid w:val="00FA3EBD"/>
    <w:rsid w:val="00FA48D6"/>
    <w:rsid w:val="00FA4DF0"/>
    <w:rsid w:val="00FB643D"/>
    <w:rsid w:val="00FC1469"/>
    <w:rsid w:val="00FC6FF9"/>
    <w:rsid w:val="00FD3029"/>
    <w:rsid w:val="00FD348A"/>
    <w:rsid w:val="00FE0747"/>
    <w:rsid w:val="00FE6AE5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EB1C"/>
  <w15:docId w15:val="{3C5BAEED-AFD6-4996-AD33-0438C1F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90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E2F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4E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4E2F90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F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E2F90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E2F90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4Char">
    <w:name w:val="Nadpis 4 Char"/>
    <w:link w:val="Nadpis4"/>
    <w:uiPriority w:val="9"/>
    <w:rsid w:val="004E2F90"/>
    <w:rPr>
      <w:b/>
      <w:bCs/>
      <w:sz w:val="24"/>
      <w:szCs w:val="24"/>
    </w:rPr>
  </w:style>
  <w:style w:type="character" w:customStyle="1" w:styleId="Nadpis5Char">
    <w:name w:val="Nadpis 5 Char"/>
    <w:link w:val="Nadpis5"/>
    <w:semiHidden/>
    <w:rsid w:val="004E2F90"/>
    <w:rPr>
      <w:rFonts w:ascii="Calibri" w:hAnsi="Calibri"/>
      <w:b/>
      <w:bCs/>
      <w:i/>
      <w:iCs/>
      <w:sz w:val="26"/>
      <w:szCs w:val="26"/>
    </w:rPr>
  </w:style>
  <w:style w:type="character" w:styleId="Siln">
    <w:name w:val="Strong"/>
    <w:qFormat/>
    <w:rsid w:val="004E2F90"/>
    <w:rPr>
      <w:b/>
      <w:bCs/>
    </w:rPr>
  </w:style>
  <w:style w:type="paragraph" w:styleId="Odsekzoznamu">
    <w:name w:val="List Paragraph"/>
    <w:basedOn w:val="Normlny"/>
    <w:uiPriority w:val="34"/>
    <w:qFormat/>
    <w:rsid w:val="004E2F90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E2F9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sk-SK"/>
    </w:rPr>
  </w:style>
  <w:style w:type="table" w:styleId="Mriekatabuky">
    <w:name w:val="Table Grid"/>
    <w:basedOn w:val="Normlnatabuka"/>
    <w:uiPriority w:val="59"/>
    <w:rsid w:val="002A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12D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2D32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2D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D32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project4</dc:creator>
  <cp:lastModifiedBy>Jaromír Biroš</cp:lastModifiedBy>
  <cp:revision>3</cp:revision>
  <dcterms:created xsi:type="dcterms:W3CDTF">2020-04-22T06:20:00Z</dcterms:created>
  <dcterms:modified xsi:type="dcterms:W3CDTF">2020-05-11T07:18:00Z</dcterms:modified>
</cp:coreProperties>
</file>